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yellow"/>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15673</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6.3.2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bookmarkStart w:id="7" w:name="_GoBack"/>
      <w:bookmarkEnd w:id="7"/>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the Extended L-band</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2"/>
        <w:numPr>
          <w:ilvl w:val="0"/>
          <w:numId w:val="3"/>
        </w:numPr>
        <w:rPr>
          <w:iCs/>
          <w:sz w:val="21"/>
          <w:szCs w:val="21"/>
        </w:rPr>
      </w:pPr>
      <w:r>
        <w:rPr>
          <w:sz w:val="21"/>
          <w:szCs w:val="21"/>
        </w:rPr>
        <w:t xml:space="preserve">Specify a new E-UTRA NTN FDD band, with initial scope for Region 1, with UE transmitting at 1668 – 1675 MHz and SAN transmitting at </w:t>
      </w:r>
      <w:bookmarkStart w:id="1" w:name="OLE_LINK1"/>
      <w:r>
        <w:rPr>
          <w:iCs/>
          <w:sz w:val="21"/>
          <w:szCs w:val="21"/>
        </w:rPr>
        <w:t>1518 – 1525 MHz</w:t>
      </w:r>
      <w:bookmarkEnd w:id="1"/>
    </w:p>
    <w:p>
      <w:pPr>
        <w:pStyle w:val="52"/>
        <w:numPr>
          <w:ilvl w:val="1"/>
          <w:numId w:val="3"/>
        </w:numPr>
        <w:rPr>
          <w:iCs/>
          <w:sz w:val="21"/>
          <w:szCs w:val="21"/>
        </w:rPr>
      </w:pPr>
      <w:r>
        <w:rPr>
          <w:iCs/>
          <w:sz w:val="21"/>
          <w:szCs w:val="21"/>
        </w:rPr>
        <w:t>NOTE: The introduction of this new NTN band through this WID has no impact on existing 3GPP terrestrial band specifications.</w:t>
      </w:r>
    </w:p>
    <w:p>
      <w:pPr>
        <w:pStyle w:val="52"/>
        <w:numPr>
          <w:ilvl w:val="0"/>
          <w:numId w:val="3"/>
        </w:numPr>
        <w:rPr>
          <w:iCs/>
          <w:sz w:val="21"/>
          <w:szCs w:val="21"/>
        </w:rPr>
      </w:pPr>
      <w:r>
        <w:rPr>
          <w:sz w:val="21"/>
          <w:szCs w:val="21"/>
        </w:rPr>
        <w:t>Support UE Categories NB1, NB2, M1;</w:t>
      </w:r>
    </w:p>
    <w:p>
      <w:pPr>
        <w:pStyle w:val="52"/>
        <w:numPr>
          <w:ilvl w:val="0"/>
          <w:numId w:val="3"/>
        </w:numPr>
        <w:rPr>
          <w:iCs/>
          <w:sz w:val="21"/>
          <w:szCs w:val="21"/>
        </w:rPr>
      </w:pPr>
      <w:r>
        <w:rPr>
          <w:sz w:val="21"/>
          <w:szCs w:val="21"/>
        </w:rPr>
        <w:t xml:space="preserve">Support UE Power class 3 (+23dBm) and Power Class 5 (+20dBm); </w:t>
      </w:r>
    </w:p>
    <w:p>
      <w:pPr>
        <w:pStyle w:val="52"/>
        <w:numPr>
          <w:ilvl w:val="0"/>
          <w:numId w:val="3"/>
        </w:numPr>
        <w:rPr>
          <w:iCs/>
          <w:sz w:val="21"/>
          <w:szCs w:val="21"/>
        </w:rPr>
      </w:pPr>
      <w:r>
        <w:rPr>
          <w:sz w:val="21"/>
          <w:szCs w:val="21"/>
        </w:rPr>
        <w:t>Introduce the corresponding SAN and UE RF core requirements;</w:t>
      </w:r>
    </w:p>
    <w:p>
      <w:pPr>
        <w:pStyle w:val="52"/>
        <w:numPr>
          <w:ilvl w:val="0"/>
          <w:numId w:val="3"/>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In this contribution, we share some views on</w:t>
      </w:r>
      <w:r>
        <w:rPr>
          <w:rFonts w:hint="eastAsia"/>
          <w:lang w:val="en-US" w:eastAsia="zh-CN"/>
        </w:rPr>
        <w:t xml:space="preserve"> UE RF requirement for the Extended L-band</w:t>
      </w:r>
      <w:r>
        <w:rPr>
          <w:rFonts w:hint="eastAsia"/>
          <w:lang w:val="en-US"/>
        </w:rPr>
        <w:t xml:space="preserve">. </w:t>
      </w: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0"/>
      <w:bookmarkStart w:id="4" w:name="OLE_LINK14"/>
      <w:bookmarkStart w:id="5"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following agreement was achieved in the last meeting.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highlight w:val="green"/>
                <w:vertAlign w:val="baseline"/>
                <w:lang w:val="en-US" w:eastAsia="zh-CN"/>
              </w:rPr>
            </w:pPr>
            <w:r>
              <w:rPr>
                <w:rFonts w:hint="eastAsia"/>
                <w:b w:val="0"/>
                <w:bCs w:val="0"/>
                <w:i w:val="0"/>
                <w:iCs w:val="0"/>
                <w:highlight w:val="green"/>
                <w:vertAlign w:val="baseline"/>
                <w:lang w:val="en-US" w:eastAsia="zh-CN"/>
              </w:rPr>
              <w:t>Agreement:</w:t>
            </w:r>
          </w:p>
          <w:p>
            <w:pPr>
              <w:pStyle w:val="36"/>
              <w:numPr>
                <w:ilvl w:val="0"/>
                <w:numId w:val="4"/>
              </w:numPr>
              <w:overflowPunct w:val="0"/>
              <w:autoSpaceDE w:val="0"/>
              <w:autoSpaceDN w:val="0"/>
              <w:adjustRightInd w:val="0"/>
              <w:spacing w:before="120"/>
              <w:ind w:left="195" w:leftChars="93" w:firstLine="21" w:firstLineChars="10"/>
              <w:textAlignment w:val="baseline"/>
            </w:pPr>
            <w:r>
              <w:rPr>
                <w:rFonts w:hint="eastAsia"/>
              </w:rPr>
              <w:t>For the Extended L-band, the channel raster, carrier frequency and EARFCN can be defined as Table 2.2-1.</w:t>
            </w:r>
          </w:p>
          <w:p>
            <w:pPr>
              <w:pStyle w:val="47"/>
            </w:pPr>
            <w:r>
              <w:rPr>
                <w:rFonts w:hint="eastAsia"/>
                <w:lang w:val="en-US" w:eastAsia="zh-CN"/>
              </w:rPr>
              <w:t>Table 2.2</w:t>
            </w:r>
            <w:r>
              <w:t>-1: E-UTRA channel numbers</w:t>
            </w:r>
          </w:p>
          <w:tbl>
            <w:tblPr>
              <w:tblStyle w:val="25"/>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817"/>
              <w:gridCol w:w="739"/>
              <w:gridCol w:w="917"/>
              <w:gridCol w:w="1948"/>
              <w:gridCol w:w="739"/>
              <w:gridCol w:w="917"/>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067" w:type="dxa"/>
                  <w:vMerge w:val="restart"/>
                  <w:shd w:val="clear" w:color="auto" w:fill="auto"/>
                  <w:vAlign w:val="bottom"/>
                </w:tcPr>
                <w:p>
                  <w:pPr>
                    <w:pStyle w:val="37"/>
                    <w:rPr>
                      <w:rFonts w:cs="Arial"/>
                    </w:rPr>
                  </w:pPr>
                  <w:r>
                    <w:rPr>
                      <w:rFonts w:cs="Arial"/>
                    </w:rPr>
                    <w:t>E-UTRA Operating</w:t>
                  </w:r>
                </w:p>
                <w:p>
                  <w:pPr>
                    <w:pStyle w:val="37"/>
                    <w:rPr>
                      <w:rFonts w:cs="Arial"/>
                    </w:rPr>
                  </w:pPr>
                  <w:r>
                    <w:rPr>
                      <w:rFonts w:cs="Arial"/>
                    </w:rPr>
                    <w:t>Band</w:t>
                  </w:r>
                </w:p>
              </w:tc>
              <w:tc>
                <w:tcPr>
                  <w:tcW w:w="817" w:type="dxa"/>
                  <w:vMerge w:val="restart"/>
                  <w:vAlign w:val="center"/>
                </w:tcPr>
                <w:p>
                  <w:pPr>
                    <w:pStyle w:val="37"/>
                    <w:rPr>
                      <w:rFonts w:cs="Arial"/>
                    </w:rPr>
                  </w:pPr>
                  <w:r>
                    <w:t>ΔF</w:t>
                  </w:r>
                  <w:r>
                    <w:rPr>
                      <w:vertAlign w:val="subscript"/>
                    </w:rPr>
                    <w:t>Raster</w:t>
                  </w:r>
                  <w:r>
                    <w:t xml:space="preserve"> (kHz)</w:t>
                  </w:r>
                </w:p>
              </w:tc>
              <w:tc>
                <w:tcPr>
                  <w:tcW w:w="3604" w:type="dxa"/>
                  <w:gridSpan w:val="3"/>
                </w:tcPr>
                <w:p>
                  <w:pPr>
                    <w:pStyle w:val="37"/>
                    <w:rPr>
                      <w:rFonts w:cs="Arial"/>
                    </w:rPr>
                  </w:pPr>
                  <w:r>
                    <w:rPr>
                      <w:rFonts w:cs="Arial"/>
                    </w:rPr>
                    <w:t>Downlink</w:t>
                  </w:r>
                </w:p>
              </w:tc>
              <w:tc>
                <w:tcPr>
                  <w:tcW w:w="3404" w:type="dxa"/>
                  <w:gridSpan w:val="3"/>
                </w:tcPr>
                <w:p>
                  <w:pPr>
                    <w:pStyle w:val="37"/>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067" w:type="dxa"/>
                  <w:vMerge w:val="continue"/>
                  <w:shd w:val="clear" w:color="auto" w:fill="auto"/>
                </w:tcPr>
                <w:p>
                  <w:pPr>
                    <w:pStyle w:val="37"/>
                    <w:rPr>
                      <w:rFonts w:cs="Arial"/>
                    </w:rPr>
                  </w:pPr>
                </w:p>
              </w:tc>
              <w:tc>
                <w:tcPr>
                  <w:tcW w:w="817" w:type="dxa"/>
                  <w:vMerge w:val="continue"/>
                </w:tcPr>
                <w:p>
                  <w:pPr>
                    <w:pStyle w:val="37"/>
                    <w:rPr>
                      <w:rFonts w:cs="Arial"/>
                    </w:rPr>
                  </w:pPr>
                </w:p>
              </w:tc>
              <w:tc>
                <w:tcPr>
                  <w:tcW w:w="739" w:type="dxa"/>
                </w:tcPr>
                <w:p>
                  <w:pPr>
                    <w:pStyle w:val="37"/>
                    <w:rPr>
                      <w:rFonts w:cs="Arial"/>
                    </w:rPr>
                  </w:pPr>
                  <w:r>
                    <w:rPr>
                      <w:rFonts w:cs="Arial"/>
                    </w:rPr>
                    <w:t>F</w:t>
                  </w:r>
                  <w:r>
                    <w:rPr>
                      <w:rFonts w:cs="Arial"/>
                      <w:vertAlign w:val="subscript"/>
                    </w:rPr>
                    <w:t xml:space="preserve">DL_low </w:t>
                  </w:r>
                  <w:r>
                    <w:rPr>
                      <w:rFonts w:cs="Arial"/>
                    </w:rPr>
                    <w:t>(MHz)</w:t>
                  </w:r>
                </w:p>
              </w:tc>
              <w:tc>
                <w:tcPr>
                  <w:tcW w:w="917" w:type="dxa"/>
                </w:tcPr>
                <w:p>
                  <w:pPr>
                    <w:pStyle w:val="37"/>
                    <w:rPr>
                      <w:rFonts w:cs="Arial"/>
                    </w:rPr>
                  </w:pPr>
                  <w:r>
                    <w:rPr>
                      <w:rFonts w:cs="Arial"/>
                    </w:rPr>
                    <w:t>N</w:t>
                  </w:r>
                  <w:r>
                    <w:rPr>
                      <w:rFonts w:cs="Arial"/>
                      <w:vertAlign w:val="subscript"/>
                    </w:rPr>
                    <w:t>Offs-DL</w:t>
                  </w:r>
                </w:p>
              </w:tc>
              <w:tc>
                <w:tcPr>
                  <w:tcW w:w="1948" w:type="dxa"/>
                </w:tcPr>
                <w:p>
                  <w:pPr>
                    <w:pStyle w:val="37"/>
                    <w:rPr>
                      <w:rFonts w:cs="Arial"/>
                      <w:vertAlign w:val="subscript"/>
                    </w:rPr>
                  </w:pPr>
                  <w:r>
                    <w:rPr>
                      <w:rFonts w:cs="Arial"/>
                    </w:rPr>
                    <w:t>Range of N</w:t>
                  </w:r>
                  <w:r>
                    <w:rPr>
                      <w:rFonts w:cs="Arial"/>
                      <w:vertAlign w:val="subscript"/>
                    </w:rPr>
                    <w:t>DL</w:t>
                  </w:r>
                </w:p>
                <w:p>
                  <w:pPr>
                    <w:pStyle w:val="37"/>
                    <w:rPr>
                      <w:rFonts w:cs="Arial"/>
                    </w:rPr>
                  </w:pPr>
                  <w:r>
                    <w:rPr>
                      <w:rFonts w:eastAsia="Yu Mincho"/>
                    </w:rPr>
                    <w:t>(First – &lt;Step size&gt; – Last)</w:t>
                  </w:r>
                </w:p>
              </w:tc>
              <w:tc>
                <w:tcPr>
                  <w:tcW w:w="739" w:type="dxa"/>
                </w:tcPr>
                <w:p>
                  <w:pPr>
                    <w:pStyle w:val="37"/>
                    <w:rPr>
                      <w:rFonts w:cs="Arial"/>
                    </w:rPr>
                  </w:pPr>
                  <w:r>
                    <w:rPr>
                      <w:rFonts w:cs="Arial"/>
                    </w:rPr>
                    <w:t>F</w:t>
                  </w:r>
                  <w:r>
                    <w:rPr>
                      <w:rFonts w:cs="Arial"/>
                      <w:vertAlign w:val="subscript"/>
                    </w:rPr>
                    <w:t xml:space="preserve">UL_low </w:t>
                  </w:r>
                  <w:r>
                    <w:rPr>
                      <w:rFonts w:cs="Arial"/>
                    </w:rPr>
                    <w:t>(MHz)</w:t>
                  </w:r>
                </w:p>
              </w:tc>
              <w:tc>
                <w:tcPr>
                  <w:tcW w:w="817" w:type="dxa"/>
                </w:tcPr>
                <w:p>
                  <w:pPr>
                    <w:pStyle w:val="37"/>
                    <w:rPr>
                      <w:rFonts w:cs="Arial"/>
                    </w:rPr>
                  </w:pPr>
                  <w:r>
                    <w:rPr>
                      <w:rFonts w:cs="Arial"/>
                    </w:rPr>
                    <w:t>N</w:t>
                  </w:r>
                  <w:r>
                    <w:rPr>
                      <w:rFonts w:cs="Arial"/>
                      <w:vertAlign w:val="subscript"/>
                    </w:rPr>
                    <w:t>Offs-UL</w:t>
                  </w:r>
                </w:p>
              </w:tc>
              <w:tc>
                <w:tcPr>
                  <w:tcW w:w="1848" w:type="dxa"/>
                </w:tcPr>
                <w:p>
                  <w:pPr>
                    <w:pStyle w:val="37"/>
                    <w:rPr>
                      <w:rFonts w:cs="Arial"/>
                      <w:vertAlign w:val="subscript"/>
                    </w:rPr>
                  </w:pPr>
                  <w:r>
                    <w:rPr>
                      <w:rFonts w:cs="Arial"/>
                    </w:rPr>
                    <w:t>Range of N</w:t>
                  </w:r>
                  <w:r>
                    <w:rPr>
                      <w:rFonts w:cs="Arial"/>
                      <w:vertAlign w:val="subscript"/>
                    </w:rPr>
                    <w:t>UL</w:t>
                  </w:r>
                </w:p>
                <w:p>
                  <w:pPr>
                    <w:pStyle w:val="37"/>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067" w:type="dxa"/>
                </w:tcPr>
                <w:p>
                  <w:pPr>
                    <w:pStyle w:val="38"/>
                    <w:rPr>
                      <w:rFonts w:cs="Arial"/>
                      <w:szCs w:val="18"/>
                      <w:lang w:val="en-US" w:eastAsia="zh-CN"/>
                    </w:rPr>
                  </w:pPr>
                  <w:r>
                    <w:rPr>
                      <w:rFonts w:hint="eastAsia" w:cs="Arial"/>
                      <w:szCs w:val="18"/>
                      <w:lang w:val="en-US" w:eastAsia="zh-CN"/>
                    </w:rPr>
                    <w:t>253</w:t>
                  </w:r>
                </w:p>
              </w:tc>
              <w:tc>
                <w:tcPr>
                  <w:tcW w:w="817" w:type="dxa"/>
                </w:tcPr>
                <w:p>
                  <w:pPr>
                    <w:pStyle w:val="38"/>
                    <w:rPr>
                      <w:rFonts w:hint="default" w:cs="Arial"/>
                      <w:szCs w:val="18"/>
                      <w:lang w:val="en-US" w:eastAsia="zh-CN"/>
                    </w:rPr>
                  </w:pPr>
                  <w:r>
                    <w:rPr>
                      <w:rFonts w:hint="eastAsia" w:cs="Arial"/>
                      <w:szCs w:val="18"/>
                      <w:lang w:val="en-US" w:eastAsia="zh-CN"/>
                    </w:rPr>
                    <w:t>[100]</w:t>
                  </w:r>
                </w:p>
              </w:tc>
              <w:tc>
                <w:tcPr>
                  <w:tcW w:w="739" w:type="dxa"/>
                </w:tcPr>
                <w:p>
                  <w:pPr>
                    <w:pStyle w:val="38"/>
                    <w:rPr>
                      <w:rFonts w:cs="Arial"/>
                      <w:szCs w:val="18"/>
                      <w:lang w:val="en-US" w:eastAsia="zh-CN"/>
                    </w:rPr>
                  </w:pPr>
                  <w:r>
                    <w:rPr>
                      <w:rFonts w:hint="eastAsia" w:cs="Arial"/>
                      <w:szCs w:val="18"/>
                      <w:lang w:val="en-US" w:eastAsia="zh-CN"/>
                    </w:rPr>
                    <w:t>1518</w:t>
                  </w:r>
                </w:p>
              </w:tc>
              <w:tc>
                <w:tcPr>
                  <w:tcW w:w="917" w:type="dxa"/>
                </w:tcPr>
                <w:p>
                  <w:pPr>
                    <w:pStyle w:val="38"/>
                    <w:rPr>
                      <w:rFonts w:hint="default" w:cs="Arial"/>
                      <w:lang w:val="en-US" w:eastAsia="zh-CN"/>
                    </w:rPr>
                  </w:pPr>
                  <w:r>
                    <w:rPr>
                      <w:rFonts w:hint="eastAsia" w:cs="Arial"/>
                      <w:lang w:val="en-US" w:eastAsia="zh-CN"/>
                    </w:rPr>
                    <w:t>[228501]</w:t>
                  </w:r>
                </w:p>
              </w:tc>
              <w:tc>
                <w:tcPr>
                  <w:tcW w:w="1948" w:type="dxa"/>
                </w:tcPr>
                <w:p>
                  <w:pPr>
                    <w:pStyle w:val="38"/>
                    <w:rPr>
                      <w:rFonts w:hint="default" w:cs="Arial"/>
                      <w:lang w:val="en-US" w:eastAsia="zh-CN"/>
                    </w:rPr>
                  </w:pPr>
                  <w:r>
                    <w:rPr>
                      <w:rFonts w:hint="eastAsia" w:cs="Arial"/>
                      <w:lang w:val="en-US" w:eastAsia="zh-CN"/>
                    </w:rPr>
                    <w:t>[228501-&lt;1&gt;-228570]</w:t>
                  </w:r>
                </w:p>
              </w:tc>
              <w:tc>
                <w:tcPr>
                  <w:tcW w:w="739" w:type="dxa"/>
                </w:tcPr>
                <w:p>
                  <w:pPr>
                    <w:pStyle w:val="38"/>
                    <w:rPr>
                      <w:rFonts w:cs="Arial"/>
                      <w:szCs w:val="18"/>
                      <w:lang w:val="en-US" w:eastAsia="zh-CN"/>
                    </w:rPr>
                  </w:pPr>
                  <w:r>
                    <w:rPr>
                      <w:rFonts w:hint="eastAsia" w:cs="Arial"/>
                      <w:szCs w:val="18"/>
                      <w:lang w:val="en-US" w:eastAsia="zh-CN"/>
                    </w:rPr>
                    <w:t>1668</w:t>
                  </w:r>
                </w:p>
              </w:tc>
              <w:tc>
                <w:tcPr>
                  <w:tcW w:w="817" w:type="dxa"/>
                </w:tcPr>
                <w:p>
                  <w:pPr>
                    <w:pStyle w:val="38"/>
                    <w:rPr>
                      <w:rFonts w:hint="default" w:cs="Arial"/>
                      <w:lang w:val="en-US" w:eastAsia="zh-CN"/>
                    </w:rPr>
                  </w:pPr>
                  <w:r>
                    <w:rPr>
                      <w:rFonts w:hint="eastAsia" w:cs="Arial"/>
                      <w:lang w:val="en-US" w:eastAsia="zh-CN"/>
                    </w:rPr>
                    <w:t>[261269]</w:t>
                  </w:r>
                </w:p>
              </w:tc>
              <w:tc>
                <w:tcPr>
                  <w:tcW w:w="1848" w:type="dxa"/>
                </w:tcPr>
                <w:p>
                  <w:pPr>
                    <w:pStyle w:val="38"/>
                    <w:rPr>
                      <w:rFonts w:hint="default"/>
                      <w:lang w:val="en-US" w:eastAsia="zh-CN"/>
                    </w:rPr>
                  </w:pPr>
                  <w:r>
                    <w:rPr>
                      <w:rFonts w:hint="eastAsia"/>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8892" w:type="dxa"/>
                  <w:gridSpan w:val="8"/>
                </w:tcPr>
                <w:p>
                  <w:pPr>
                    <w:pStyle w:val="50"/>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vertAlign w:val="baseline"/>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channel raster and offset range of band 253 have not been confirmed in the above agreement. Based on TS 36.102 [2] and WF [3], the channel raster of band 256, 255 and 254 are all 100 kHz, and the relation between EARFCN and the carrier frequency of band 256, 255 and 254 are same. We have not seen any technical reasons to change the rules for Band 253. Therefore, the channel raster, carrier frequency and EARFCN can be confirmed for Extended L-band as Table 2.1-1.</w:t>
      </w:r>
    </w:p>
    <w:p>
      <w:pPr>
        <w:pStyle w:val="47"/>
      </w:pPr>
      <w:r>
        <w:rPr>
          <w:rFonts w:hint="eastAsia"/>
          <w:lang w:val="en-US" w:eastAsia="zh-CN"/>
        </w:rPr>
        <w:t>Table 2.1</w:t>
      </w:r>
      <w:r>
        <w:t>-1: E-UTRA channel numbers</w:t>
      </w:r>
    </w:p>
    <w:tbl>
      <w:tblPr>
        <w:tblStyle w:val="25"/>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7"/>
        <w:gridCol w:w="1013"/>
        <w:gridCol w:w="1030"/>
        <w:gridCol w:w="1848"/>
        <w:gridCol w:w="1009"/>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7"/>
              <w:rPr>
                <w:rFonts w:cs="Arial"/>
              </w:rPr>
            </w:pPr>
            <w:r>
              <w:rPr>
                <w:rFonts w:cs="Arial"/>
              </w:rPr>
              <w:t>E-UTRA Operating</w:t>
            </w:r>
          </w:p>
          <w:p>
            <w:pPr>
              <w:pStyle w:val="37"/>
              <w:rPr>
                <w:rFonts w:cs="Arial"/>
              </w:rPr>
            </w:pPr>
            <w:r>
              <w:rPr>
                <w:rFonts w:cs="Arial"/>
              </w:rPr>
              <w:t>Band</w:t>
            </w:r>
          </w:p>
        </w:tc>
        <w:tc>
          <w:tcPr>
            <w:tcW w:w="977" w:type="dxa"/>
            <w:vMerge w:val="restart"/>
            <w:vAlign w:val="center"/>
          </w:tcPr>
          <w:p>
            <w:pPr>
              <w:pStyle w:val="37"/>
              <w:rPr>
                <w:rFonts w:cs="Arial"/>
              </w:rPr>
            </w:pPr>
            <w:r>
              <w:t>ΔF</w:t>
            </w:r>
            <w:r>
              <w:rPr>
                <w:vertAlign w:val="subscript"/>
              </w:rPr>
              <w:t>Raster</w:t>
            </w:r>
            <w:r>
              <w:t xml:space="preserve"> (kHz)</w:t>
            </w:r>
          </w:p>
        </w:tc>
        <w:tc>
          <w:tcPr>
            <w:tcW w:w="3891" w:type="dxa"/>
            <w:gridSpan w:val="3"/>
          </w:tcPr>
          <w:p>
            <w:pPr>
              <w:pStyle w:val="37"/>
              <w:rPr>
                <w:rFonts w:cs="Arial"/>
              </w:rPr>
            </w:pPr>
            <w:r>
              <w:rPr>
                <w:rFonts w:cs="Arial"/>
              </w:rPr>
              <w:t>Downlink</w:t>
            </w:r>
          </w:p>
        </w:tc>
        <w:tc>
          <w:tcPr>
            <w:tcW w:w="3696" w:type="dxa"/>
            <w:gridSpan w:val="3"/>
          </w:tcPr>
          <w:p>
            <w:pPr>
              <w:pStyle w:val="37"/>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7"/>
              <w:rPr>
                <w:rFonts w:cs="Arial"/>
              </w:rPr>
            </w:pPr>
          </w:p>
        </w:tc>
        <w:tc>
          <w:tcPr>
            <w:tcW w:w="977" w:type="dxa"/>
            <w:vMerge w:val="continue"/>
          </w:tcPr>
          <w:p>
            <w:pPr>
              <w:pStyle w:val="37"/>
              <w:rPr>
                <w:rFonts w:cs="Arial"/>
              </w:rPr>
            </w:pPr>
          </w:p>
        </w:tc>
        <w:tc>
          <w:tcPr>
            <w:tcW w:w="1013" w:type="dxa"/>
          </w:tcPr>
          <w:p>
            <w:pPr>
              <w:pStyle w:val="37"/>
              <w:rPr>
                <w:rFonts w:cs="Arial"/>
              </w:rPr>
            </w:pPr>
            <w:r>
              <w:rPr>
                <w:rFonts w:cs="Arial"/>
              </w:rPr>
              <w:t>F</w:t>
            </w:r>
            <w:r>
              <w:rPr>
                <w:rFonts w:cs="Arial"/>
                <w:vertAlign w:val="subscript"/>
              </w:rPr>
              <w:t xml:space="preserve">DL_low </w:t>
            </w:r>
            <w:r>
              <w:rPr>
                <w:rFonts w:cs="Arial"/>
              </w:rPr>
              <w:t>(MHz)</w:t>
            </w:r>
          </w:p>
        </w:tc>
        <w:tc>
          <w:tcPr>
            <w:tcW w:w="1030" w:type="dxa"/>
          </w:tcPr>
          <w:p>
            <w:pPr>
              <w:pStyle w:val="37"/>
              <w:rPr>
                <w:rFonts w:cs="Arial"/>
              </w:rPr>
            </w:pPr>
            <w:r>
              <w:rPr>
                <w:rFonts w:cs="Arial"/>
              </w:rPr>
              <w:t>N</w:t>
            </w:r>
            <w:r>
              <w:rPr>
                <w:rFonts w:cs="Arial"/>
                <w:vertAlign w:val="subscript"/>
              </w:rPr>
              <w:t>Offs-DL</w:t>
            </w:r>
          </w:p>
        </w:tc>
        <w:tc>
          <w:tcPr>
            <w:tcW w:w="1848" w:type="dxa"/>
          </w:tcPr>
          <w:p>
            <w:pPr>
              <w:pStyle w:val="37"/>
              <w:rPr>
                <w:rFonts w:cs="Arial"/>
                <w:vertAlign w:val="subscript"/>
              </w:rPr>
            </w:pPr>
            <w:r>
              <w:rPr>
                <w:rFonts w:cs="Arial"/>
              </w:rPr>
              <w:t>Range of N</w:t>
            </w:r>
            <w:r>
              <w:rPr>
                <w:rFonts w:cs="Arial"/>
                <w:vertAlign w:val="subscript"/>
              </w:rPr>
              <w:t>DL</w:t>
            </w:r>
          </w:p>
          <w:p>
            <w:pPr>
              <w:pStyle w:val="37"/>
              <w:rPr>
                <w:rFonts w:cs="Arial"/>
              </w:rPr>
            </w:pPr>
            <w:r>
              <w:rPr>
                <w:rFonts w:eastAsia="Yu Mincho"/>
              </w:rPr>
              <w:t>(First – &lt;Step size&gt; – Last)</w:t>
            </w:r>
          </w:p>
        </w:tc>
        <w:tc>
          <w:tcPr>
            <w:tcW w:w="1009" w:type="dxa"/>
          </w:tcPr>
          <w:p>
            <w:pPr>
              <w:pStyle w:val="37"/>
              <w:rPr>
                <w:rFonts w:cs="Arial"/>
              </w:rPr>
            </w:pPr>
            <w:r>
              <w:rPr>
                <w:rFonts w:cs="Arial"/>
              </w:rPr>
              <w:t>F</w:t>
            </w:r>
            <w:r>
              <w:rPr>
                <w:rFonts w:cs="Arial"/>
                <w:vertAlign w:val="subscript"/>
              </w:rPr>
              <w:t xml:space="preserve">UL_low </w:t>
            </w:r>
            <w:r>
              <w:rPr>
                <w:rFonts w:cs="Arial"/>
              </w:rPr>
              <w:t>(MHz)</w:t>
            </w:r>
          </w:p>
        </w:tc>
        <w:tc>
          <w:tcPr>
            <w:tcW w:w="839" w:type="dxa"/>
          </w:tcPr>
          <w:p>
            <w:pPr>
              <w:pStyle w:val="37"/>
              <w:rPr>
                <w:rFonts w:cs="Arial"/>
              </w:rPr>
            </w:pPr>
            <w:r>
              <w:rPr>
                <w:rFonts w:cs="Arial"/>
              </w:rPr>
              <w:t>N</w:t>
            </w:r>
            <w:r>
              <w:rPr>
                <w:rFonts w:cs="Arial"/>
                <w:vertAlign w:val="subscript"/>
              </w:rPr>
              <w:t>Offs-UL</w:t>
            </w:r>
          </w:p>
        </w:tc>
        <w:tc>
          <w:tcPr>
            <w:tcW w:w="1848" w:type="dxa"/>
          </w:tcPr>
          <w:p>
            <w:pPr>
              <w:pStyle w:val="37"/>
              <w:rPr>
                <w:rFonts w:cs="Arial"/>
                <w:vertAlign w:val="subscript"/>
              </w:rPr>
            </w:pPr>
            <w:r>
              <w:rPr>
                <w:rFonts w:cs="Arial"/>
              </w:rPr>
              <w:t>Range of N</w:t>
            </w:r>
            <w:r>
              <w:rPr>
                <w:rFonts w:cs="Arial"/>
                <w:vertAlign w:val="subscript"/>
              </w:rPr>
              <w:t>UL</w:t>
            </w:r>
          </w:p>
          <w:p>
            <w:pPr>
              <w:pStyle w:val="37"/>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8"/>
              <w:rPr>
                <w:rFonts w:hint="default" w:eastAsia="宋体" w:cs="Arial"/>
                <w:szCs w:val="18"/>
                <w:lang w:val="en-US" w:eastAsia="zh-CN"/>
              </w:rPr>
            </w:pPr>
            <w:r>
              <w:rPr>
                <w:rFonts w:hint="eastAsia" w:eastAsia="宋体" w:cs="Arial"/>
                <w:szCs w:val="18"/>
                <w:lang w:val="en-US" w:eastAsia="zh-CN"/>
              </w:rPr>
              <w:t>253</w:t>
            </w:r>
          </w:p>
        </w:tc>
        <w:tc>
          <w:tcPr>
            <w:tcW w:w="977" w:type="dxa"/>
            <w:vAlign w:val="top"/>
          </w:tcPr>
          <w:p>
            <w:pPr>
              <w:pStyle w:val="38"/>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013" w:type="dxa"/>
            <w:vAlign w:val="top"/>
          </w:tcPr>
          <w:p>
            <w:pPr>
              <w:pStyle w:val="38"/>
              <w:rPr>
                <w:rFonts w:hint="default" w:ascii="Arial" w:hAnsi="Arial" w:eastAsia="宋体" w:cs="Arial"/>
                <w:kern w:val="0"/>
                <w:sz w:val="18"/>
                <w:szCs w:val="18"/>
                <w:lang w:val="en-US" w:eastAsia="zh-CN" w:bidi="ar-SA"/>
              </w:rPr>
            </w:pPr>
            <w:r>
              <w:rPr>
                <w:rFonts w:hint="eastAsia" w:eastAsia="宋体" w:cs="Arial"/>
                <w:szCs w:val="18"/>
                <w:lang w:val="en-US" w:eastAsia="zh-CN"/>
              </w:rPr>
              <w:t>1518</w:t>
            </w:r>
          </w:p>
        </w:tc>
        <w:tc>
          <w:tcPr>
            <w:tcW w:w="1030" w:type="dxa"/>
            <w:vAlign w:val="top"/>
          </w:tcPr>
          <w:p>
            <w:pPr>
              <w:pStyle w:val="38"/>
              <w:rPr>
                <w:rFonts w:hint="default" w:ascii="Arial" w:hAnsi="Arial" w:eastAsia="宋体" w:cs="Arial"/>
                <w:kern w:val="0"/>
                <w:sz w:val="18"/>
                <w:szCs w:val="20"/>
                <w:lang w:val="en-US" w:eastAsia="zh-CN" w:bidi="ar-SA"/>
              </w:rPr>
            </w:pPr>
            <w:r>
              <w:rPr>
                <w:rFonts w:hint="eastAsia" w:eastAsia="宋体" w:cs="Arial"/>
                <w:lang w:val="en-US" w:eastAsia="zh-CN"/>
              </w:rPr>
              <w:t>228501</w:t>
            </w:r>
          </w:p>
        </w:tc>
        <w:tc>
          <w:tcPr>
            <w:tcW w:w="1848" w:type="dxa"/>
            <w:vAlign w:val="top"/>
          </w:tcPr>
          <w:p>
            <w:pPr>
              <w:pStyle w:val="38"/>
              <w:rPr>
                <w:rFonts w:hint="default" w:ascii="Arial" w:hAnsi="Arial" w:eastAsia="宋体" w:cs="Arial"/>
                <w:kern w:val="0"/>
                <w:sz w:val="18"/>
                <w:szCs w:val="20"/>
                <w:lang w:val="en-US" w:eastAsia="zh-CN" w:bidi="ar-SA"/>
              </w:rPr>
            </w:pPr>
            <w:r>
              <w:rPr>
                <w:rFonts w:hint="eastAsia" w:eastAsia="宋体" w:cs="Arial"/>
                <w:lang w:val="en-US" w:eastAsia="zh-CN"/>
              </w:rPr>
              <w:t>228501-&lt;1&gt;-228570</w:t>
            </w:r>
          </w:p>
        </w:tc>
        <w:tc>
          <w:tcPr>
            <w:tcW w:w="1009" w:type="dxa"/>
            <w:vAlign w:val="top"/>
          </w:tcPr>
          <w:p>
            <w:pPr>
              <w:pStyle w:val="38"/>
              <w:rPr>
                <w:rFonts w:hint="default" w:ascii="Arial" w:hAnsi="Arial" w:eastAsia="宋体" w:cs="Arial"/>
                <w:kern w:val="0"/>
                <w:sz w:val="18"/>
                <w:szCs w:val="18"/>
                <w:lang w:val="en-US" w:eastAsia="zh-CN" w:bidi="ar-SA"/>
              </w:rPr>
            </w:pPr>
            <w:r>
              <w:rPr>
                <w:rFonts w:hint="eastAsia" w:eastAsia="宋体" w:cs="Arial"/>
                <w:szCs w:val="18"/>
                <w:lang w:val="en-US" w:eastAsia="zh-CN"/>
              </w:rPr>
              <w:t>1668</w:t>
            </w:r>
          </w:p>
        </w:tc>
        <w:tc>
          <w:tcPr>
            <w:tcW w:w="839" w:type="dxa"/>
            <w:vAlign w:val="top"/>
          </w:tcPr>
          <w:p>
            <w:pPr>
              <w:pStyle w:val="38"/>
              <w:rPr>
                <w:rFonts w:hint="default" w:ascii="Arial" w:hAnsi="Arial" w:eastAsia="宋体" w:cs="Arial"/>
                <w:kern w:val="0"/>
                <w:sz w:val="18"/>
                <w:szCs w:val="20"/>
                <w:lang w:val="en-US" w:eastAsia="zh-CN" w:bidi="ar-SA"/>
              </w:rPr>
            </w:pPr>
            <w:r>
              <w:rPr>
                <w:rFonts w:hint="eastAsia" w:eastAsia="宋体" w:cs="Arial"/>
                <w:lang w:val="en-US" w:eastAsia="zh-CN"/>
              </w:rPr>
              <w:t>261269</w:t>
            </w:r>
          </w:p>
        </w:tc>
        <w:tc>
          <w:tcPr>
            <w:tcW w:w="1848" w:type="dxa"/>
            <w:vAlign w:val="top"/>
          </w:tcPr>
          <w:p>
            <w:pPr>
              <w:pStyle w:val="38"/>
              <w:rPr>
                <w:rFonts w:hint="default" w:ascii="Arial" w:hAnsi="Arial" w:eastAsia="宋体" w:cs="Times New Roman"/>
                <w:kern w:val="0"/>
                <w:sz w:val="18"/>
                <w:szCs w:val="20"/>
                <w:lang w:val="en-US" w:eastAsia="zh-CN" w:bidi="ar-SA"/>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50"/>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1: </w:t>
      </w:r>
      <w:r>
        <w:rPr>
          <w:rFonts w:hint="eastAsia"/>
          <w:lang w:val="en-US" w:eastAsia="zh-CN"/>
        </w:rPr>
        <w:t>For the Extended L-band, the channel raster, carrier frequency and EARFCN can be confirmed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Default UE TX-RX frequency separation</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RAN4 #106bis meeting, an agreement was achieved for TX-RX frequency separation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highlight w:val="green"/>
              </w:rPr>
            </w:pPr>
            <w:r>
              <w:rPr>
                <w:b/>
                <w:highlight w:val="green"/>
              </w:rPr>
              <w:t>Agreement:</w:t>
            </w:r>
          </w:p>
          <w:p>
            <w:pPr>
              <w:pStyle w:val="36"/>
              <w:numPr>
                <w:ilvl w:val="0"/>
                <w:numId w:val="5"/>
              </w:numPr>
              <w:adjustRightInd w:val="0"/>
              <w:spacing w:after="180"/>
              <w:ind w:left="417" w:leftChars="105" w:hanging="197" w:hangingChars="94"/>
              <w:rPr>
                <w:rFonts w:hint="eastAsia"/>
                <w:lang w:val="en-US" w:eastAsia="zh-CN"/>
              </w:rPr>
            </w:pPr>
            <w:r>
              <w:rPr>
                <w:szCs w:val="20"/>
                <w:highlight w:val="none"/>
              </w:rPr>
              <w:t>Consider if Option 1 can be agreed as a starting point, pending further checking of the frequency range.</w:t>
            </w:r>
          </w:p>
          <w:p>
            <w:pPr>
              <w:pStyle w:val="36"/>
              <w:numPr>
                <w:ilvl w:val="0"/>
                <w:numId w:val="6"/>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val="en-US" w:eastAsia="zh-CN"/>
              </w:rPr>
              <w:t>Proposals</w:t>
            </w:r>
          </w:p>
          <w:p>
            <w:pPr>
              <w:pStyle w:val="36"/>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val="en-US" w:eastAsia="zh-CN"/>
              </w:rPr>
              <w:t>Option 1: For the Extended L-band, the TX–RX frequency separation should be defined as Table 2.4-1 (ZTE)</w:t>
            </w:r>
          </w:p>
          <w:p>
            <w:pPr>
              <w:pStyle w:val="47"/>
              <w:ind w:left="936"/>
            </w:pPr>
            <w:r>
              <w:t xml:space="preserve">Table </w:t>
            </w:r>
            <w:r>
              <w:rPr>
                <w:rFonts w:hint="eastAsia"/>
                <w:lang w:val="en-US"/>
              </w:rPr>
              <w:t>2</w:t>
            </w:r>
            <w:r>
              <w:t>.</w:t>
            </w:r>
            <w:r>
              <w:rPr>
                <w:rFonts w:hint="eastAsia"/>
                <w:lang w:val="en-US"/>
              </w:rPr>
              <w:t>4</w:t>
            </w:r>
            <w:r>
              <w:t>-1: Default UE TX-RX frequency separation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7"/>
                    <w:rPr>
                      <w:rFonts w:cs="Arial"/>
                    </w:rPr>
                  </w:pPr>
                  <w:r>
                    <w:rPr>
                      <w:rFonts w:cs="Arial"/>
                    </w:rPr>
                    <w:t>E-UTRA Operating Band</w:t>
                  </w:r>
                </w:p>
              </w:tc>
              <w:tc>
                <w:tcPr>
                  <w:tcW w:w="2693" w:type="dxa"/>
                </w:tcPr>
                <w:p>
                  <w:pPr>
                    <w:pStyle w:val="37"/>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38"/>
                    <w:rPr>
                      <w:rFonts w:cs="Arial"/>
                      <w:lang w:val="en-US" w:eastAsia="zh-CN"/>
                    </w:rPr>
                  </w:pPr>
                  <w:r>
                    <w:rPr>
                      <w:rFonts w:hint="eastAsia" w:cs="Arial"/>
                      <w:lang w:val="en-US" w:eastAsia="zh-CN"/>
                    </w:rPr>
                    <w:t>[</w:t>
                  </w:r>
                  <w:r>
                    <w:rPr>
                      <w:rFonts w:cs="Arial"/>
                    </w:rPr>
                    <w:t>25</w:t>
                  </w:r>
                  <w:r>
                    <w:rPr>
                      <w:rFonts w:hint="eastAsia" w:cs="Arial"/>
                      <w:lang w:val="en-US" w:eastAsia="zh-CN"/>
                    </w:rPr>
                    <w:t>3]</w:t>
                  </w:r>
                </w:p>
              </w:tc>
              <w:tc>
                <w:tcPr>
                  <w:tcW w:w="2693" w:type="dxa"/>
                </w:tcPr>
                <w:p>
                  <w:pPr>
                    <w:pStyle w:val="38"/>
                    <w:rPr>
                      <w:rFonts w:cs="Arial"/>
                      <w:lang w:val="en-US" w:eastAsia="zh-CN"/>
                    </w:rPr>
                  </w:pPr>
                  <w:r>
                    <w:rPr>
                      <w:rFonts w:hint="eastAsia" w:cs="Arial"/>
                      <w:lang w:val="en-US" w:eastAsia="zh-CN"/>
                    </w:rPr>
                    <w:t>-150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The default E-UTRA TX channel (carrier centre frequency) to RX channel (carrier centre frequency) separation for the Extended L-band should be confirm as Table 2.2-1.</w:t>
      </w:r>
    </w:p>
    <w:p>
      <w:pPr>
        <w:pStyle w:val="47"/>
        <w:ind w:left="936"/>
      </w:pPr>
      <w:r>
        <w:t xml:space="preserve">Table </w:t>
      </w:r>
      <w:r>
        <w:rPr>
          <w:rFonts w:hint="eastAsia"/>
          <w:lang w:val="en-US"/>
        </w:rPr>
        <w:t>2</w:t>
      </w:r>
      <w:r>
        <w:t>.</w:t>
      </w:r>
      <w:r>
        <w:rPr>
          <w:rFonts w:hint="eastAsia"/>
          <w:lang w:val="en-US" w:eastAsia="zh-CN"/>
        </w:rPr>
        <w:t>2</w:t>
      </w:r>
      <w:r>
        <w:t>-1: Default UE TX-RX frequency separation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7"/>
              <w:rPr>
                <w:rFonts w:cs="Arial"/>
              </w:rPr>
            </w:pPr>
            <w:r>
              <w:rPr>
                <w:rFonts w:cs="Arial"/>
              </w:rPr>
              <w:t>E-UTRA Operating Band</w:t>
            </w:r>
          </w:p>
        </w:tc>
        <w:tc>
          <w:tcPr>
            <w:tcW w:w="2693" w:type="dxa"/>
          </w:tcPr>
          <w:p>
            <w:pPr>
              <w:pStyle w:val="37"/>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38"/>
              <w:rPr>
                <w:rFonts w:cs="Arial"/>
                <w:lang w:val="en-US" w:eastAsia="zh-CN"/>
              </w:rPr>
            </w:pPr>
            <w:r>
              <w:rPr>
                <w:rFonts w:cs="Arial"/>
              </w:rPr>
              <w:t>25</w:t>
            </w:r>
            <w:r>
              <w:rPr>
                <w:rFonts w:hint="eastAsia" w:cs="Arial"/>
                <w:lang w:val="en-US" w:eastAsia="zh-CN"/>
              </w:rPr>
              <w:t>3</w:t>
            </w:r>
          </w:p>
        </w:tc>
        <w:tc>
          <w:tcPr>
            <w:tcW w:w="2693" w:type="dxa"/>
          </w:tcPr>
          <w:p>
            <w:pPr>
              <w:pStyle w:val="38"/>
              <w:rPr>
                <w:rFonts w:cs="Arial"/>
                <w:lang w:val="en-US" w:eastAsia="zh-CN"/>
              </w:rPr>
            </w:pPr>
            <w:r>
              <w:rPr>
                <w:rFonts w:hint="eastAsia" w:cs="Arial"/>
                <w:lang w:val="en-US" w:eastAsia="zh-CN"/>
              </w:rPr>
              <w:t>-150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b/>
          <w:bCs/>
          <w:i w:val="0"/>
          <w:iCs w:val="0"/>
          <w:lang w:val="en-US" w:eastAsia="zh-CN"/>
        </w:rPr>
        <w:t>Proposal 2:</w:t>
      </w:r>
      <w:r>
        <w:rPr>
          <w:rFonts w:hint="eastAsia"/>
          <w:b w:val="0"/>
          <w:bCs w:val="0"/>
          <w:i w:val="0"/>
          <w:iCs w:val="0"/>
          <w:lang w:val="en-US" w:eastAsia="zh-CN"/>
        </w:rPr>
        <w:t xml:space="preserve"> For the Extended L-band, the TX–RX frequency separation should be confirm as Table 2.2-1.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2.3 </w:t>
      </w:r>
      <w:r>
        <w:rPr>
          <w:rFonts w:hint="default" w:ascii="Arial" w:hAnsi="Arial" w:cs="Arial"/>
          <w:sz w:val="28"/>
          <w:szCs w:val="28"/>
          <w:lang w:val="en-US" w:eastAsia="zh-CN"/>
        </w:rPr>
        <w:t xml:space="preserve">Reference sensitivity </w:t>
      </w:r>
      <w:r>
        <w:rPr>
          <w:rFonts w:hint="eastAsia" w:ascii="Arial" w:hAnsi="Arial" w:cs="Arial"/>
          <w:sz w:val="28"/>
          <w:szCs w:val="28"/>
          <w:lang w:val="en-US" w:eastAsia="zh-CN"/>
        </w:rPr>
        <w:t xml:space="preserve">power </w:t>
      </w:r>
      <w:r>
        <w:rPr>
          <w:rFonts w:hint="default" w:ascii="Arial" w:hAnsi="Arial" w:cs="Arial"/>
          <w:sz w:val="28"/>
          <w:szCs w:val="28"/>
          <w:lang w:val="en-US" w:eastAsia="zh-CN"/>
        </w:rPr>
        <w:t>level</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default"/>
          <w:lang w:val="en-US" w:eastAsia="zh-CN"/>
        </w:rPr>
        <w:t xml:space="preserve">The extended L-band is adjacent to the </w:t>
      </w:r>
      <w:r>
        <w:rPr>
          <w:rFonts w:hint="eastAsia"/>
          <w:lang w:val="en-US" w:eastAsia="zh-CN"/>
        </w:rPr>
        <w:t>DL</w:t>
      </w:r>
      <w:r>
        <w:rPr>
          <w:rFonts w:hint="default"/>
          <w:lang w:val="en-US" w:eastAsia="zh-CN"/>
        </w:rPr>
        <w:t xml:space="preserve"> of </w:t>
      </w:r>
      <w:r>
        <w:rPr>
          <w:rFonts w:hint="eastAsia"/>
          <w:lang w:val="en-US" w:eastAsia="zh-CN"/>
        </w:rPr>
        <w:t xml:space="preserve">TN band 24 and </w:t>
      </w:r>
      <w:r>
        <w:rPr>
          <w:rFonts w:hint="default"/>
          <w:lang w:val="en-US" w:eastAsia="zh-CN"/>
        </w:rPr>
        <w:t xml:space="preserve">NTN band 255 </w:t>
      </w:r>
      <w:r>
        <w:rPr>
          <w:rFonts w:hint="eastAsia"/>
          <w:lang w:val="en-US" w:eastAsia="zh-CN"/>
        </w:rPr>
        <w:t xml:space="preserve">which both support eMTC category M1 </w:t>
      </w:r>
      <w:r>
        <w:rPr>
          <w:rFonts w:hint="default"/>
          <w:lang w:val="en-US" w:eastAsia="zh-CN"/>
        </w:rPr>
        <w:t>and</w:t>
      </w:r>
      <w:r>
        <w:rPr>
          <w:rFonts w:hint="eastAsia"/>
          <w:lang w:val="en-US" w:eastAsia="zh-CN"/>
        </w:rPr>
        <w:t xml:space="preserve"> the reference sensitivity power level REFSENS of both band 24 and band 255 are -102.7 dBm. Therefore, the REFSENS of band 24 and band 255 can be reused to the extended L-band as shown in Table 2.3-1 and Table 2.3-2.</w:t>
      </w:r>
    </w:p>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w:t>
      </w:r>
      <w:r>
        <w:t>.</w:t>
      </w:r>
      <w:r>
        <w:rPr>
          <w:rFonts w:hint="eastAsia"/>
          <w:lang w:val="en-US" w:eastAsia="zh-CN"/>
        </w:rPr>
        <w:t>3</w:t>
      </w:r>
      <w:r>
        <w:t>-1: Reference sensitivity for FDD UE category M1 QPSK P</w:t>
      </w:r>
      <w:r>
        <w:rPr>
          <w:vertAlign w:val="subscript"/>
        </w:rPr>
        <w:t>REFSENS</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7"/>
              <w:rPr>
                <w:rFonts w:eastAsia="MS Mincho"/>
              </w:rPr>
            </w:pPr>
            <w:r>
              <w:t>NTN Band</w:t>
            </w:r>
          </w:p>
        </w:tc>
        <w:tc>
          <w:tcPr>
            <w:tcW w:w="3827" w:type="dxa"/>
            <w:shd w:val="clear" w:color="auto" w:fill="auto"/>
            <w:vAlign w:val="center"/>
          </w:tcPr>
          <w:p>
            <w:pPr>
              <w:pStyle w:val="37"/>
              <w:rPr>
                <w:rFonts w:eastAsia="MS Mincho"/>
              </w:rPr>
            </w:pPr>
            <w:r>
              <w:t>REFSENS (dBm)</w:t>
            </w:r>
          </w:p>
        </w:tc>
        <w:tc>
          <w:tcPr>
            <w:tcW w:w="2835"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8"/>
              <w:rPr>
                <w:rFonts w:hint="default" w:eastAsia="宋体"/>
                <w:lang w:val="en-US" w:eastAsia="zh-CN"/>
              </w:rPr>
            </w:pPr>
            <w:r>
              <w:rPr>
                <w:rFonts w:eastAsia="MS Mincho"/>
              </w:rPr>
              <w:t>25</w:t>
            </w:r>
            <w:r>
              <w:rPr>
                <w:rFonts w:hint="eastAsia" w:eastAsia="宋体"/>
                <w:lang w:val="en-US" w:eastAsia="zh-CN"/>
              </w:rPr>
              <w:t>3</w:t>
            </w:r>
          </w:p>
        </w:tc>
        <w:tc>
          <w:tcPr>
            <w:tcW w:w="3827" w:type="dxa"/>
            <w:shd w:val="clear" w:color="auto" w:fill="auto"/>
            <w:vAlign w:val="center"/>
          </w:tcPr>
          <w:p>
            <w:pPr>
              <w:pStyle w:val="38"/>
              <w:rPr>
                <w:rFonts w:eastAsia="MS Mincho"/>
              </w:rPr>
            </w:pPr>
            <w:r>
              <w:rPr>
                <w:rFonts w:eastAsia="MS Mincho"/>
              </w:rPr>
              <w:t>-102.7</w:t>
            </w:r>
          </w:p>
        </w:tc>
        <w:tc>
          <w:tcPr>
            <w:tcW w:w="2835" w:type="dxa"/>
            <w:shd w:val="clear" w:color="auto" w:fill="auto"/>
            <w:vAlign w:val="center"/>
          </w:tcPr>
          <w:p>
            <w:pPr>
              <w:pStyle w:val="38"/>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2.3-2</w:t>
      </w:r>
      <w:r>
        <w:t xml:space="preserve">: Reference sensitivity for </w:t>
      </w:r>
      <w:r>
        <w:rPr>
          <w:rFonts w:hint="eastAsia"/>
        </w:rPr>
        <w:t xml:space="preserve">HD-FDD </w:t>
      </w:r>
      <w:r>
        <w:t>UE category M1 QPSK PREFSENS</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7"/>
              <w:rPr>
                <w:rFonts w:eastAsia="MS Mincho"/>
              </w:rPr>
            </w:pPr>
            <w:r>
              <w:t>NTN Band</w:t>
            </w:r>
          </w:p>
        </w:tc>
        <w:tc>
          <w:tcPr>
            <w:tcW w:w="3827" w:type="dxa"/>
            <w:shd w:val="clear" w:color="auto" w:fill="auto"/>
            <w:vAlign w:val="center"/>
          </w:tcPr>
          <w:p>
            <w:pPr>
              <w:pStyle w:val="37"/>
              <w:rPr>
                <w:rFonts w:eastAsia="MS Mincho"/>
              </w:rPr>
            </w:pPr>
            <w:r>
              <w:t>REFSENS (dBm)</w:t>
            </w:r>
          </w:p>
        </w:tc>
        <w:tc>
          <w:tcPr>
            <w:tcW w:w="2835"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8"/>
              <w:rPr>
                <w:rFonts w:hint="default" w:eastAsia="宋体"/>
                <w:lang w:val="en-US" w:eastAsia="zh-CN"/>
              </w:rPr>
            </w:pPr>
            <w:r>
              <w:rPr>
                <w:rFonts w:eastAsia="MS Mincho"/>
              </w:rPr>
              <w:t>25</w:t>
            </w:r>
            <w:r>
              <w:rPr>
                <w:rFonts w:hint="eastAsia" w:eastAsia="宋体"/>
                <w:lang w:val="en-US" w:eastAsia="zh-CN"/>
              </w:rPr>
              <w:t>3</w:t>
            </w:r>
          </w:p>
        </w:tc>
        <w:tc>
          <w:tcPr>
            <w:tcW w:w="3827" w:type="dxa"/>
            <w:shd w:val="clear" w:color="auto" w:fill="auto"/>
            <w:vAlign w:val="center"/>
          </w:tcPr>
          <w:p>
            <w:pPr>
              <w:pStyle w:val="38"/>
              <w:rPr>
                <w:rFonts w:eastAsia="MS Mincho"/>
              </w:rPr>
            </w:pPr>
            <w:r>
              <w:rPr>
                <w:rFonts w:eastAsia="MS Mincho"/>
              </w:rPr>
              <w:t>-103.5</w:t>
            </w:r>
          </w:p>
        </w:tc>
        <w:tc>
          <w:tcPr>
            <w:tcW w:w="2835" w:type="dxa"/>
            <w:shd w:val="clear" w:color="auto" w:fill="auto"/>
            <w:vAlign w:val="center"/>
          </w:tcPr>
          <w:p>
            <w:pPr>
              <w:pStyle w:val="38"/>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Similarly, t</w:t>
      </w:r>
      <w:r>
        <w:rPr>
          <w:rFonts w:hint="default"/>
          <w:lang w:val="en-US" w:eastAsia="zh-CN"/>
        </w:rPr>
        <w:t>he</w:t>
      </w:r>
      <w:r>
        <w:rPr>
          <w:rFonts w:hint="eastAsia"/>
          <w:lang w:val="en-US" w:eastAsia="zh-CN"/>
        </w:rPr>
        <w:t xml:space="preserve"> REFSENS of band 255 also can be reused to</w:t>
      </w:r>
      <w:r>
        <w:rPr>
          <w:rFonts w:hint="default"/>
          <w:lang w:val="en-US" w:eastAsia="zh-CN"/>
        </w:rPr>
        <w:t xml:space="preserve"> extended L-band</w:t>
      </w:r>
      <w:r>
        <w:rPr>
          <w:rFonts w:hint="eastAsia"/>
          <w:lang w:val="en-US" w:eastAsia="zh-CN"/>
        </w:rPr>
        <w:t xml:space="preserve"> as shown in Table 2.3-3.</w:t>
      </w:r>
    </w:p>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2.3-3</w:t>
      </w:r>
      <w:r>
        <w:t>: Reference sensitivity for UE category NB1 and NB2</w:t>
      </w:r>
    </w:p>
    <w:tbl>
      <w:tblPr>
        <w:tblStyle w:val="25"/>
        <w:tblW w:w="5201" w:type="dxa"/>
        <w:jc w:val="center"/>
        <w:tblLayout w:type="autofit"/>
        <w:tblCellMar>
          <w:top w:w="0" w:type="dxa"/>
          <w:left w:w="108" w:type="dxa"/>
          <w:bottom w:w="0" w:type="dxa"/>
          <w:right w:w="108" w:type="dxa"/>
        </w:tblCellMar>
      </w:tblPr>
      <w:tblGrid>
        <w:gridCol w:w="3621"/>
        <w:gridCol w:w="1580"/>
      </w:tblGrid>
      <w:tr>
        <w:tblPrEx>
          <w:tblCellMar>
            <w:top w:w="0" w:type="dxa"/>
            <w:left w:w="108" w:type="dxa"/>
            <w:bottom w:w="0" w:type="dxa"/>
            <w:right w:w="108" w:type="dxa"/>
          </w:tblCellMar>
        </w:tblPrEx>
        <w:trPr>
          <w:trHeight w:val="288" w:hRule="atLeast"/>
          <w:jc w:val="center"/>
        </w:trPr>
        <w:tc>
          <w:tcPr>
            <w:tcW w:w="3621"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REFSENS [dBm]</w:t>
            </w:r>
          </w:p>
        </w:tc>
      </w:tr>
      <w:tr>
        <w:tblPrEx>
          <w:tblCellMar>
            <w:top w:w="0" w:type="dxa"/>
            <w:left w:w="108" w:type="dxa"/>
            <w:bottom w:w="0" w:type="dxa"/>
            <w:right w:w="108" w:type="dxa"/>
          </w:tblCellMar>
        </w:tblPrEx>
        <w:trPr>
          <w:trHeight w:val="600" w:hRule="atLeast"/>
          <w:jc w:val="center"/>
        </w:trPr>
        <w:tc>
          <w:tcPr>
            <w:tcW w:w="3621" w:type="dxa"/>
            <w:tcBorders>
              <w:top w:val="nil"/>
              <w:left w:val="single" w:color="auto" w:sz="4" w:space="0"/>
              <w:bottom w:val="single" w:color="auto" w:sz="4" w:space="0"/>
              <w:right w:val="single" w:color="auto" w:sz="4" w:space="0"/>
            </w:tcBorders>
            <w:shd w:val="clear" w:color="auto" w:fill="auto"/>
            <w:vAlign w:val="center"/>
          </w:tcPr>
          <w:p>
            <w:pPr>
              <w:pStyle w:val="38"/>
              <w:rPr>
                <w:rFonts w:hint="default" w:eastAsia="宋体" w:cs="Arial"/>
                <w:lang w:val="en-US" w:eastAsia="zh-CN"/>
              </w:rPr>
            </w:pPr>
            <w:r>
              <w:rPr>
                <w:rFonts w:eastAsia="Courier New" w:cs="Arial"/>
                <w:lang w:eastAsia="ja-JP"/>
              </w:rPr>
              <w:t>According to subclause 5.2B</w:t>
            </w:r>
            <w:r>
              <w:rPr>
                <w:rFonts w:hint="eastAsia" w:eastAsia="宋体" w:cs="Arial"/>
                <w:lang w:val="en-US" w:eastAsia="zh-CN"/>
              </w:rPr>
              <w:t xml:space="preserve"> in TS 36.102</w:t>
            </w:r>
          </w:p>
        </w:tc>
        <w:tc>
          <w:tcPr>
            <w:tcW w:w="1580" w:type="dxa"/>
            <w:tcBorders>
              <w:top w:val="nil"/>
              <w:left w:val="nil"/>
              <w:bottom w:val="single" w:color="auto" w:sz="4" w:space="0"/>
              <w:right w:val="single" w:color="auto" w:sz="4" w:space="0"/>
            </w:tcBorders>
            <w:shd w:val="clear" w:color="auto" w:fill="auto"/>
            <w:noWrap/>
            <w:vAlign w:val="center"/>
          </w:tcPr>
          <w:p>
            <w:pPr>
              <w:pStyle w:val="38"/>
              <w:rPr>
                <w:rFonts w:cs="Arial"/>
                <w:lang w:val="en-US" w:eastAsia="ja-JP"/>
              </w:rPr>
            </w:pPr>
            <w:r>
              <w:rPr>
                <w:rFonts w:cs="Arial"/>
                <w:lang w:val="en-US" w:eastAsia="ja-JP"/>
              </w:rPr>
              <w:t>- 108.2</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3: </w:t>
      </w:r>
      <w:r>
        <w:rPr>
          <w:rFonts w:hint="eastAsia"/>
          <w:b w:val="0"/>
          <w:bCs w:val="0"/>
          <w:i w:val="0"/>
          <w:iCs w:val="0"/>
          <w:lang w:val="en-US" w:eastAsia="zh-CN"/>
        </w:rPr>
        <w:t>For the extended L-band, t</w:t>
      </w:r>
      <w:r>
        <w:rPr>
          <w:rFonts w:hint="eastAsia"/>
          <w:lang w:val="en-US" w:eastAsia="zh-CN"/>
        </w:rPr>
        <w:t>he reference sensitivity level for eMTC NTN can be defined as Table 2.3-1 and Table 2.3-2 and the reference sensitivity level for NB-IoT can be defined as Table 2.3-3.</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2.4 Receiver blocking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the last meeting, an agreement was achieved for receiver blocking requirement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Malgun Gothic"/>
                <w:b/>
                <w:color w:val="auto"/>
                <w:highlight w:val="green"/>
                <w:u w:val="single"/>
                <w:lang w:eastAsia="ko-KR"/>
              </w:rPr>
            </w:pPr>
            <w:r>
              <w:rPr>
                <w:rFonts w:hint="eastAsia" w:eastAsia="Malgun Gothic"/>
                <w:b/>
                <w:color w:val="auto"/>
                <w:highlight w:val="green"/>
                <w:u w:val="single"/>
                <w:lang w:eastAsia="ko-KR"/>
              </w:rPr>
              <w:t xml:space="preserve">Agreement: </w:t>
            </w:r>
          </w:p>
          <w:p>
            <w:pPr>
              <w:pStyle w:val="36"/>
              <w:numPr>
                <w:ilvl w:val="0"/>
                <w:numId w:val="6"/>
              </w:numPr>
              <w:overflowPunct/>
              <w:autoSpaceDE/>
              <w:autoSpaceDN/>
              <w:adjustRightInd/>
              <w:spacing w:after="120"/>
              <w:ind w:firstLineChars="0"/>
              <w:textAlignment w:val="auto"/>
              <w:rPr>
                <w:rFonts w:eastAsia="宋体"/>
                <w:color w:val="auto"/>
                <w:szCs w:val="24"/>
                <w:highlight w:val="none"/>
                <w:lang w:eastAsia="zh-CN"/>
              </w:rPr>
            </w:pPr>
            <w:r>
              <w:rPr>
                <w:rFonts w:eastAsia="宋体"/>
                <w:color w:val="auto"/>
                <w:szCs w:val="24"/>
                <w:highlight w:val="none"/>
                <w:lang w:eastAsia="zh-CN"/>
              </w:rPr>
              <w:t xml:space="preserve">Specify UE receiver blocking requirements by starting with ECC Report 263. Companies are encouraged to study how to capture these requirements in the specification. </w:t>
            </w:r>
          </w:p>
          <w:p>
            <w:pPr>
              <w:pStyle w:val="36"/>
              <w:numPr>
                <w:ilvl w:val="2"/>
                <w:numId w:val="6"/>
              </w:numPr>
              <w:overflowPunct/>
              <w:autoSpaceDE/>
              <w:autoSpaceDN/>
              <w:adjustRightInd/>
              <w:spacing w:after="120"/>
              <w:ind w:left="1260" w:leftChars="0" w:hanging="360" w:firstLineChars="0"/>
              <w:textAlignment w:val="auto"/>
              <w:rPr>
                <w:rFonts w:hint="eastAsia"/>
                <w:vertAlign w:val="baseline"/>
                <w:lang w:val="en-US" w:eastAsia="zh-CN"/>
              </w:rPr>
            </w:pPr>
            <w:r>
              <w:rPr>
                <w:rFonts w:eastAsia="宋体"/>
                <w:color w:val="auto"/>
                <w:szCs w:val="24"/>
                <w:highlight w:val="none"/>
                <w:lang w:eastAsia="zh-CN"/>
              </w:rPr>
              <w:t>Study the feasibility of specifying UE receiver blocking requirements at the 1518 MHz band edge and at the 1520 MHz channel offset.</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According to the following information of ECC report 263 [4], the interference level for MES receiver is -48 dBm with low antenna gain of 3dBi for 1 MHz frequency separation and the interference level for MES receiver is -33 dBm with low antenna gain of 3dBi for 3MHz frequency separation. The interference bandwidth is a 5 MHz broadband signal interferer (LTE).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12"/>
              <w:tabs>
                <w:tab w:val="left" w:pos="0"/>
                <w:tab w:val="center" w:pos="4820"/>
                <w:tab w:val="right" w:pos="9639"/>
              </w:tabs>
              <w:jc w:val="center"/>
              <w:rPr>
                <w:b/>
                <w:bCs/>
                <w:color w:val="C00000"/>
                <w:lang w:val="en-GB"/>
              </w:rPr>
            </w:pPr>
            <w:r>
              <w:rPr>
                <w:b/>
                <w:bCs/>
                <w:color w:val="C00000"/>
                <w:lang w:val="en-GB"/>
              </w:rPr>
              <w:t xml:space="preserve">Table </w:t>
            </w:r>
            <w:r>
              <w:rPr>
                <w:b/>
                <w:bCs/>
                <w:color w:val="C00000"/>
                <w:lang w:val="en-GB"/>
              </w:rPr>
              <w:fldChar w:fldCharType="begin"/>
            </w:r>
            <w:r>
              <w:rPr>
                <w:b/>
                <w:bCs/>
                <w:color w:val="C00000"/>
                <w:lang w:val="en-GB"/>
              </w:rPr>
              <w:instrText xml:space="preserve"> SEQ Table \* ARABIC </w:instrText>
            </w:r>
            <w:r>
              <w:rPr>
                <w:b/>
                <w:bCs/>
                <w:color w:val="C00000"/>
                <w:lang w:val="en-GB"/>
              </w:rPr>
              <w:fldChar w:fldCharType="separate"/>
            </w:r>
            <w:r>
              <w:rPr>
                <w:b/>
                <w:bCs/>
                <w:color w:val="C00000"/>
                <w:lang w:val="en-GB"/>
              </w:rPr>
              <w:t>8</w:t>
            </w:r>
            <w:r>
              <w:rPr>
                <w:b/>
                <w:bCs/>
                <w:color w:val="C00000"/>
                <w:lang w:val="en-GB"/>
              </w:rPr>
              <w:fldChar w:fldCharType="end"/>
            </w:r>
            <w:r>
              <w:rPr>
                <w:b/>
                <w:bCs/>
                <w:color w:val="C00000"/>
                <w:lang w:val="en-GB"/>
              </w:rPr>
              <w:t>: Assumed blocking level for enhanced MES receivers</w:t>
            </w:r>
          </w:p>
          <w:tbl>
            <w:tblPr>
              <w:tblStyle w:val="104"/>
              <w:tblW w:w="0" w:type="auto"/>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autofit"/>
              <w:tblCellMar>
                <w:top w:w="57" w:type="dxa"/>
                <w:left w:w="108" w:type="dxa"/>
                <w:bottom w:w="0" w:type="dxa"/>
                <w:right w:w="108" w:type="dxa"/>
              </w:tblCellMar>
            </w:tblPr>
            <w:tblGrid>
              <w:gridCol w:w="3043"/>
              <w:gridCol w:w="3495"/>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blHeader/>
                <w:jc w:val="center"/>
              </w:trPr>
              <w:tc>
                <w:tcPr>
                  <w:tcW w:w="3043" w:type="dxa"/>
                  <w:tcBorders>
                    <w:top w:val="single" w:color="D22A23" w:sz="4" w:space="0"/>
                    <w:left w:val="single" w:color="D22A23" w:sz="4" w:space="0"/>
                    <w:bottom w:val="single" w:color="D22A23" w:sz="4" w:space="0"/>
                    <w:right w:val="single" w:color="FFFFFF" w:themeColor="background1" w:sz="4" w:space="0"/>
                    <w:insideH w:val="single" w:sz="4" w:space="0"/>
                    <w:insideV w:val="single" w:sz="4" w:space="0"/>
                    <w:tl2br w:val="nil"/>
                    <w:tr2bl w:val="nil"/>
                  </w:tcBorders>
                  <w:shd w:val="clear" w:color="auto" w:fill="D22A23"/>
                  <w:vAlign w:val="center"/>
                </w:tcPr>
                <w:p>
                  <w:pPr>
                    <w:wordWrap/>
                    <w:spacing w:before="120" w:beforeLines="0" w:beforeAutospacing="0" w:after="120" w:afterLines="0" w:afterAutospacing="0" w:line="240" w:lineRule="auto"/>
                    <w:jc w:val="center"/>
                    <w:rPr>
                      <w:b/>
                      <w:i w:val="0"/>
                      <w:color w:val="FFFFFF" w:themeColor="background1"/>
                      <w:lang w:eastAsia="de-DE"/>
                      <w14:textFill>
                        <w14:solidFill>
                          <w14:schemeClr w14:val="bg1"/>
                        </w14:solidFill>
                      </w14:textFill>
                    </w:rPr>
                  </w:pPr>
                  <w:r>
                    <w:rPr>
                      <w:b/>
                      <w:i w:val="0"/>
                      <w:color w:val="FFFFFF" w:themeColor="background1"/>
                      <w:lang w:eastAsia="de-DE"/>
                      <w14:textFill>
                        <w14:solidFill>
                          <w14:schemeClr w14:val="bg1"/>
                        </w14:solidFill>
                      </w14:textFill>
                    </w:rPr>
                    <w:t xml:space="preserve">Frequency separation </w:t>
                  </w:r>
                  <w:r>
                    <w:rPr>
                      <w:b/>
                      <w:i w:val="0"/>
                      <w:color w:val="FFFFFF" w:themeColor="background1"/>
                      <w:lang w:eastAsia="de-DE"/>
                      <w14:textFill>
                        <w14:solidFill>
                          <w14:schemeClr w14:val="bg1"/>
                        </w14:solidFill>
                      </w14:textFill>
                    </w:rPr>
                    <w:br w:type="textWrapping"/>
                  </w:r>
                  <w:r>
                    <w:rPr>
                      <w:b/>
                      <w:i w:val="0"/>
                      <w:color w:val="FFFFFF" w:themeColor="background1"/>
                      <w:lang w:eastAsia="de-DE"/>
                      <w14:textFill>
                        <w14:solidFill>
                          <w14:schemeClr w14:val="bg1"/>
                        </w14:solidFill>
                      </w14:textFill>
                    </w:rPr>
                    <w:t>between channel edges</w:t>
                  </w:r>
                </w:p>
              </w:tc>
              <w:tc>
                <w:tcPr>
                  <w:tcW w:w="3495" w:type="dxa"/>
                  <w:tcBorders>
                    <w:top w:val="single" w:color="D22A23" w:sz="4" w:space="0"/>
                    <w:bottom w:val="single" w:color="D22A23" w:sz="4" w:space="0"/>
                    <w:right w:val="single" w:color="D22A23" w:sz="4" w:space="0"/>
                    <w:insideH w:val="single" w:sz="4" w:space="0"/>
                    <w:insideV w:val="single" w:sz="4" w:space="0"/>
                    <w:tl2br w:val="nil"/>
                    <w:tr2bl w:val="nil"/>
                  </w:tcBorders>
                  <w:shd w:val="clear" w:color="auto" w:fill="D22A23"/>
                  <w:vAlign w:val="center"/>
                </w:tcPr>
                <w:p>
                  <w:pPr>
                    <w:wordWrap/>
                    <w:spacing w:before="120" w:beforeLines="0" w:beforeAutospacing="0" w:after="120" w:afterLines="0" w:afterAutospacing="0" w:line="240" w:lineRule="auto"/>
                    <w:jc w:val="center"/>
                    <w:rPr>
                      <w:b/>
                      <w:i w:val="0"/>
                      <w:color w:val="FFFFFF" w:themeColor="background1"/>
                      <w:lang w:eastAsia="de-DE"/>
                      <w14:textFill>
                        <w14:solidFill>
                          <w14:schemeClr w14:val="bg1"/>
                        </w14:solidFill>
                      </w14:textFill>
                    </w:rPr>
                  </w:pPr>
                  <w:r>
                    <w:rPr>
                      <w:b/>
                      <w:i w:val="0"/>
                      <w:color w:val="FFFFFF" w:themeColor="background1"/>
                      <w:lang w:eastAsia="de-DE"/>
                      <w14:textFill>
                        <w14:solidFill>
                          <w14:schemeClr w14:val="bg1"/>
                        </w14:solidFill>
                      </w14:textFill>
                    </w:rPr>
                    <w:t xml:space="preserve">Interference level </w:t>
                  </w:r>
                  <w:r>
                    <w:rPr>
                      <w:b/>
                      <w:i w:val="0"/>
                      <w:color w:val="FFFFFF" w:themeColor="background1"/>
                      <w:lang w:eastAsia="de-DE"/>
                      <w14:textFill>
                        <w14:solidFill>
                          <w14:schemeClr w14:val="bg1"/>
                        </w14:solidFill>
                      </w14:textFill>
                    </w:rPr>
                    <w:br w:type="textWrapping"/>
                  </w:r>
                  <w:r>
                    <w:rPr>
                      <w:b/>
                      <w:i w:val="0"/>
                      <w:color w:val="FFFFFF" w:themeColor="background1"/>
                      <w:lang w:eastAsia="de-DE"/>
                      <w14:textFill>
                        <w14:solidFill>
                          <w14:schemeClr w14:val="bg1"/>
                        </w14:solidFill>
                      </w14:textFill>
                    </w:rPr>
                    <w:t>(at output of receiving antenna)</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43" w:type="dxa"/>
                  <w:vAlign w:val="center"/>
                </w:tcPr>
                <w:p>
                  <w:pPr>
                    <w:spacing w:before="60"/>
                    <w:rPr>
                      <w:lang w:eastAsia="de-DE"/>
                    </w:rPr>
                  </w:pPr>
                  <w:r>
                    <w:rPr>
                      <w:lang w:eastAsia="de-DE"/>
                    </w:rPr>
                    <w:t>1 MHz</w:t>
                  </w:r>
                </w:p>
              </w:tc>
              <w:tc>
                <w:tcPr>
                  <w:tcW w:w="3495" w:type="dxa"/>
                  <w:vAlign w:val="center"/>
                </w:tcPr>
                <w:p>
                  <w:pPr>
                    <w:spacing w:before="60"/>
                    <w:rPr>
                      <w:lang w:eastAsia="de-DE"/>
                    </w:rPr>
                  </w:pPr>
                  <w:r>
                    <w:rPr>
                      <w:lang w:eastAsia="de-DE"/>
                    </w:rPr>
                    <w:t>–55 to –45 dBm</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43" w:type="dxa"/>
                  <w:vAlign w:val="center"/>
                </w:tcPr>
                <w:p>
                  <w:pPr>
                    <w:spacing w:before="60"/>
                    <w:rPr>
                      <w:lang w:eastAsia="de-DE"/>
                    </w:rPr>
                  </w:pPr>
                  <w:r>
                    <w:rPr>
                      <w:lang w:eastAsia="de-DE"/>
                    </w:rPr>
                    <w:t>3 MHz</w:t>
                  </w:r>
                </w:p>
              </w:tc>
              <w:tc>
                <w:tcPr>
                  <w:tcW w:w="3495" w:type="dxa"/>
                  <w:vAlign w:val="center"/>
                </w:tcPr>
                <w:p>
                  <w:pPr>
                    <w:spacing w:before="60"/>
                    <w:rPr>
                      <w:lang w:eastAsia="de-DE"/>
                    </w:rPr>
                  </w:pPr>
                  <w:r>
                    <w:rPr>
                      <w:lang w:eastAsia="de-DE"/>
                    </w:rPr>
                    <w:t>–35 to –30 dBm</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43" w:type="dxa"/>
                  <w:vAlign w:val="center"/>
                </w:tcPr>
                <w:p>
                  <w:pPr>
                    <w:spacing w:before="60"/>
                    <w:rPr>
                      <w:lang w:eastAsia="de-DE"/>
                    </w:rPr>
                  </w:pPr>
                  <w:r>
                    <w:rPr>
                      <w:lang w:eastAsia="de-DE"/>
                    </w:rPr>
                    <w:t>6 MHz</w:t>
                  </w:r>
                </w:p>
              </w:tc>
              <w:tc>
                <w:tcPr>
                  <w:tcW w:w="3495" w:type="dxa"/>
                  <w:vAlign w:val="center"/>
                </w:tcPr>
                <w:p>
                  <w:pPr>
                    <w:spacing w:before="60"/>
                    <w:rPr>
                      <w:lang w:eastAsia="de-DE"/>
                    </w:rPr>
                  </w:pPr>
                  <w:r>
                    <w:rPr>
                      <w:lang w:eastAsia="de-DE"/>
                    </w:rPr>
                    <w:t>–30 to –25 dBm</w:t>
                  </w:r>
                </w:p>
              </w:tc>
            </w:tr>
          </w:tbl>
          <w:p/>
          <w:p>
            <w:r>
              <w:t xml:space="preserve">Based on the final results of its compatibility studies, it is concluded that: </w:t>
            </w:r>
          </w:p>
          <w:p>
            <w:pPr>
              <w:pStyle w:val="101"/>
              <w:rPr>
                <w:rFonts w:hint="default"/>
                <w:vertAlign w:val="baseline"/>
                <w:lang w:val="en-US" w:eastAsia="zh-CN"/>
              </w:rPr>
            </w:pPr>
            <w:r>
              <w:t xml:space="preserve">the minimum in-band blocking characteristic for land mobile earth stations receivers from a 5 MHz broadband signal interferer (LTE) operating below 1518 MHz shall be </w:t>
            </w:r>
            <w:r>
              <w:rPr>
                <w:rFonts w:cs="Arial"/>
              </w:rPr>
              <w:t>−</w:t>
            </w:r>
            <w:r>
              <w:t>30dBm above 1520 MHz</w:t>
            </w:r>
            <w:r>
              <w:rPr>
                <w:rStyle w:val="33"/>
              </w:rPr>
              <w:footnoteReference w:id="0"/>
            </w:r>
            <w:r>
              <w:rPr>
                <w:rFonts w:hint="eastAsia"/>
                <w:vertAlign w:val="superscript"/>
                <w:lang w:val="en-US" w:eastAsia="zh-CN"/>
              </w:rPr>
              <w:t>0</w:t>
            </w:r>
            <w:r>
              <w:t>,</w:t>
            </w:r>
          </w:p>
        </w:tc>
      </w:tr>
    </w:tbl>
    <w:p>
      <w:pPr>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2.4.1 In-band blocking requirement for UE category M1</w:t>
      </w:r>
    </w:p>
    <w:p>
      <w:pPr>
        <w:keepNext w:val="0"/>
        <w:keepLines w:val="0"/>
        <w:pageBreakBefore w:val="0"/>
        <w:widowControl w:val="0"/>
        <w:kinsoku/>
        <w:wordWrap/>
        <w:overflowPunct/>
        <w:topLinePunct w:val="0"/>
        <w:autoSpaceDE/>
        <w:autoSpaceDN/>
        <w:bidi w:val="0"/>
        <w:adjustRightInd/>
        <w:snapToGrid/>
        <w:spacing w:before="120" w:after="120"/>
        <w:ind w:left="0" w:firstLine="0" w:firstLineChars="0"/>
        <w:textAlignment w:val="auto"/>
        <w:rPr>
          <w:rFonts w:hint="eastAsia"/>
          <w:lang w:val="en-US" w:eastAsia="zh-CN"/>
        </w:rPr>
      </w:pPr>
      <w:r>
        <w:rPr>
          <w:rFonts w:hint="eastAsia"/>
          <w:lang w:val="en-US" w:eastAsia="zh-CN"/>
        </w:rPr>
        <w:t xml:space="preserve">As shown in figure 2.4-1, we note that the proposed blocker of 5MHz broadband signal interferer with 1 MHz frequency separation from band 253 includes the case 1 and case 2 blockers for which most bands are required to meet at -56 dBm and -44 dBm and the case 1 and case 2 blockers are 1.4 MHz bandwidth. In addition, the interference level for MES receiver is -33 dBm for 3MHz frequency separation which is more challenging than the existing in-band blocking requirement.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27550" cy="2520315"/>
            <wp:effectExtent l="0" t="0" r="1397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4527550" cy="2520315"/>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auto"/>
        <w:rPr>
          <w:rFonts w:hint="default" w:eastAsia="宋体"/>
          <w:b/>
          <w:bCs/>
          <w:lang w:val="en-US" w:eastAsia="zh-CN"/>
        </w:rPr>
      </w:pPr>
      <w:r>
        <w:rPr>
          <w:rFonts w:hint="eastAsia"/>
          <w:b/>
          <w:bCs/>
          <w:lang w:val="en-US" w:eastAsia="zh-CN"/>
        </w:rPr>
        <w:t xml:space="preserve">Figure 2.1-1 The location of 5MHz broadband signal interferer blocker </w:t>
      </w:r>
    </w:p>
    <w:p>
      <w:pPr>
        <w:keepNext w:val="0"/>
        <w:keepLines w:val="0"/>
        <w:pageBreakBefore w:val="0"/>
        <w:widowControl w:val="0"/>
        <w:kinsoku/>
        <w:wordWrap/>
        <w:overflowPunct/>
        <w:topLinePunct w:val="0"/>
        <w:autoSpaceDE/>
        <w:autoSpaceDN/>
        <w:bidi w:val="0"/>
        <w:adjustRightInd/>
        <w:snapToGrid/>
        <w:spacing w:before="120" w:after="120"/>
        <w:ind w:left="0" w:firstLine="0" w:firstLineChars="0"/>
        <w:textAlignment w:val="auto"/>
        <w:rPr>
          <w:rFonts w:hint="eastAsia"/>
          <w:lang w:val="en-US" w:eastAsia="zh-CN"/>
        </w:rPr>
      </w:pPr>
      <w:r>
        <w:rPr>
          <w:rFonts w:hint="eastAsia"/>
          <w:lang w:val="en-US" w:eastAsia="zh-CN"/>
        </w:rPr>
        <w:t>Therefore, based on the analysis and agreement above, two sets of UE in-band blocking requirements at the 1518 MHz band edge and at the 1520 MHz channel offset should be introduced and case 3 and case 4 in-band blocking requirement can be introduced as shown in Table 2.4-1.</w:t>
      </w:r>
    </w:p>
    <w:p>
      <w:pPr>
        <w:pStyle w:val="47"/>
        <w:rPr>
          <w:color w:val="000000" w:themeColor="text1"/>
          <w14:textFill>
            <w14:solidFill>
              <w14:schemeClr w14:val="tx1"/>
            </w14:solidFill>
          </w14:textFill>
        </w:rPr>
      </w:pPr>
      <w:r>
        <w:rPr>
          <w:color w:val="000000" w:themeColor="text1"/>
          <w14:textFill>
            <w14:solidFill>
              <w14:schemeClr w14:val="tx1"/>
            </w14:solidFill>
          </w14:textFill>
        </w:rPr>
        <w:t>Table</w:t>
      </w:r>
      <w:r>
        <w:rPr>
          <w:rFonts w:hint="eastAsia"/>
          <w:color w:val="000000" w:themeColor="text1"/>
          <w:lang w:val="en-US" w:eastAsia="zh-CN"/>
          <w14:textFill>
            <w14:solidFill>
              <w14:schemeClr w14:val="tx1"/>
            </w14:solidFill>
          </w14:textFill>
        </w:rPr>
        <w:t>2.4-1</w:t>
      </w:r>
      <w:r>
        <w:rPr>
          <w:color w:val="000000" w:themeColor="text1"/>
          <w14:textFill>
            <w14:solidFill>
              <w14:schemeClr w14:val="tx1"/>
            </w14:solidFill>
          </w14:textFill>
        </w:rPr>
        <w:t>: In-band blocking</w:t>
      </w:r>
    </w:p>
    <w:tbl>
      <w:tblPr>
        <w:tblStyle w:val="25"/>
        <w:tblW w:w="963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06"/>
        <w:gridCol w:w="1252"/>
        <w:gridCol w:w="703"/>
        <w:gridCol w:w="1765"/>
        <w:gridCol w:w="1903"/>
        <w:gridCol w:w="1577"/>
        <w:gridCol w:w="153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8" w:hRule="atLeast"/>
          <w:jc w:val="center"/>
        </w:trPr>
        <w:tc>
          <w:tcPr>
            <w:tcW w:w="906" w:type="dxa"/>
            <w:vMerge w:val="restart"/>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252"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03"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1765"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1903"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c>
          <w:tcPr>
            <w:tcW w:w="1577" w:type="dxa"/>
            <w:tcBorders>
              <w:top w:val="single" w:color="000000" w:sz="6" w:space="0"/>
              <w:left w:val="single" w:color="000000" w:sz="6" w:space="0"/>
              <w:bottom w:val="single" w:color="000000" w:sz="6" w:space="0"/>
              <w:right w:val="single" w:color="000000" w:sz="6" w:space="0"/>
            </w:tcBorders>
            <w:shd w:val="clear" w:color="auto" w:fill="auto"/>
          </w:tcPr>
          <w:p>
            <w:pPr>
              <w:pStyle w:val="37"/>
              <w:rPr>
                <w:rFonts w:hint="default" w:cs="Arial"/>
                <w:color w:val="000000" w:themeColor="text1"/>
                <w:vertAlign w:val="superscript"/>
                <w:lang w:val="en-US" w:eastAsia="zh-CN"/>
                <w14:textFill>
                  <w14:solidFill>
                    <w14:schemeClr w14:val="tx1"/>
                  </w14:solidFill>
                </w14:textFill>
              </w:rPr>
            </w:pPr>
            <w:r>
              <w:rPr>
                <w:rFonts w:hint="eastAsia" w:cs="Arial"/>
                <w:color w:val="000000" w:themeColor="text1"/>
                <w:lang w:val="en-US" w:eastAsia="zh-CN"/>
                <w14:textFill>
                  <w14:solidFill>
                    <w14:schemeClr w14:val="tx1"/>
                  </w14:solidFill>
                </w14:textFill>
              </w:rPr>
              <w:t>Case 3</w:t>
            </w:r>
            <w:r>
              <w:rPr>
                <w:rFonts w:hint="eastAsia" w:cs="Arial"/>
                <w:color w:val="000000" w:themeColor="text1"/>
                <w:vertAlign w:val="superscript"/>
                <w:lang w:val="en-US" w:eastAsia="zh-CN"/>
                <w14:textFill>
                  <w14:solidFill>
                    <w14:schemeClr w14:val="tx1"/>
                  </w14:solidFill>
                </w14:textFill>
              </w:rPr>
              <w:t>4</w:t>
            </w:r>
          </w:p>
        </w:tc>
        <w:tc>
          <w:tcPr>
            <w:tcW w:w="1532" w:type="dxa"/>
            <w:tcBorders>
              <w:top w:val="single" w:color="000000" w:sz="6" w:space="0"/>
              <w:left w:val="single" w:color="000000" w:sz="6" w:space="0"/>
              <w:bottom w:val="single" w:color="000000" w:sz="6" w:space="0"/>
              <w:right w:val="single" w:color="000000" w:sz="6" w:space="0"/>
            </w:tcBorders>
            <w:shd w:val="clear" w:color="auto" w:fill="auto"/>
          </w:tcPr>
          <w:p>
            <w:pPr>
              <w:pStyle w:val="37"/>
              <w:rPr>
                <w:rFonts w:hint="default" w:cs="Arial"/>
                <w:color w:val="000000" w:themeColor="text1"/>
                <w:vertAlign w:val="superscript"/>
                <w:lang w:val="en-US" w:eastAsia="zh-CN"/>
                <w14:textFill>
                  <w14:solidFill>
                    <w14:schemeClr w14:val="tx1"/>
                  </w14:solidFill>
                </w14:textFill>
              </w:rPr>
            </w:pPr>
            <w:r>
              <w:rPr>
                <w:rFonts w:hint="eastAsia" w:cs="Arial"/>
                <w:color w:val="000000" w:themeColor="text1"/>
                <w:lang w:val="en-US" w:eastAsia="zh-CN"/>
                <w14:textFill>
                  <w14:solidFill>
                    <w14:schemeClr w14:val="tx1"/>
                  </w14:solidFill>
                </w14:textFill>
              </w:rPr>
              <w:t>Case 4</w:t>
            </w:r>
            <w:r>
              <w:rPr>
                <w:rFonts w:hint="eastAsia" w:cs="Arial"/>
                <w:color w:val="000000" w:themeColor="text1"/>
                <w:vertAlign w:val="superscript"/>
                <w:lang w:val="en-US" w:eastAsia="zh-CN"/>
                <w14:textFill>
                  <w14:solidFill>
                    <w14:schemeClr w14:val="tx1"/>
                  </w14:solidFill>
                </w14:textFill>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c>
          <w:tcPr>
            <w:tcW w:w="157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rPr>
                <w:rFonts w:hint="default" w:cs="Arial"/>
                <w:color w:val="000000" w:themeColor="text1"/>
                <w:lang w:val="en-US" w:eastAsia="zh-CN"/>
                <w14:textFill>
                  <w14:solidFill>
                    <w14:schemeClr w14:val="tx1"/>
                  </w14:solidFill>
                </w14:textFill>
              </w:rPr>
            </w:pPr>
            <w:r>
              <w:rPr>
                <w:rFonts w:hint="eastAsia" w:cs="Arial"/>
                <w:color w:val="000000" w:themeColor="text1"/>
                <w:lang w:val="en-US" w:eastAsia="zh-CN"/>
                <w14:textFill>
                  <w14:solidFill>
                    <w14:schemeClr w14:val="tx1"/>
                  </w14:solidFill>
                </w14:textFill>
              </w:rPr>
              <w:t>-48</w:t>
            </w:r>
          </w:p>
        </w:tc>
        <w:tc>
          <w:tcPr>
            <w:tcW w:w="15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rPr>
                <w:rFonts w:hint="default" w:cs="Arial"/>
                <w:color w:val="000000" w:themeColor="text1"/>
                <w:lang w:val="en-US" w:eastAsia="zh-CN"/>
                <w14:textFill>
                  <w14:solidFill>
                    <w14:schemeClr w14:val="tx1"/>
                  </w14:solidFill>
                </w14:textFill>
              </w:rPr>
            </w:pPr>
            <w:r>
              <w:rPr>
                <w:rFonts w:hint="eastAsia" w:cs="Arial"/>
                <w:color w:val="000000" w:themeColor="text1"/>
                <w:lang w:val="en-US" w:eastAsia="zh-CN"/>
                <w14:textFill>
                  <w14:solidFill>
                    <w14:schemeClr w14:val="tx1"/>
                  </w14:solidFill>
                </w14:textFill>
              </w:rPr>
              <w:t>-33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3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38"/>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38"/>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38"/>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c>
          <w:tcPr>
            <w:tcW w:w="157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ind w:left="-108"/>
              <w:rPr>
                <w:rFonts w:hint="default" w:eastAsia="宋体" w:cs="Arial"/>
                <w:color w:val="000000" w:themeColor="text1"/>
                <w:lang w:val="en-US" w:eastAsia="zh-CN"/>
                <w14:textFill>
                  <w14:solidFill>
                    <w14:schemeClr w14:val="tx1"/>
                  </w14:solidFill>
                </w14:textFill>
              </w:rPr>
            </w:pPr>
          </w:p>
        </w:tc>
        <w:tc>
          <w:tcPr>
            <w:tcW w:w="15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ind w:left="-108"/>
              <w:rPr>
                <w:rFonts w:cs="Arial"/>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256, 255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c>
          <w:tcPr>
            <w:tcW w:w="157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rPr>
                <w:rFonts w:cs="Arial"/>
                <w:color w:val="000000" w:themeColor="text1"/>
                <w:lang w:eastAsia="zh-CN"/>
                <w14:textFill>
                  <w14:solidFill>
                    <w14:schemeClr w14:val="tx1"/>
                  </w14:solidFill>
                </w14:textFill>
              </w:rPr>
            </w:pPr>
          </w:p>
        </w:tc>
        <w:tc>
          <w:tcPr>
            <w:tcW w:w="15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rPr>
                <w:rFonts w:cs="Arial"/>
                <w:color w:val="000000" w:themeColor="text1"/>
                <w:lang w:eastAsia="zh-CN"/>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tcBorders>
              <w:top w:val="single" w:color="000000" w:sz="6" w:space="0"/>
              <w:left w:val="single" w:color="000000" w:sz="6" w:space="0"/>
              <w:bottom w:val="single" w:color="000000" w:sz="6" w:space="0"/>
              <w:right w:val="single" w:color="000000" w:sz="6" w:space="0"/>
            </w:tcBorders>
            <w:vAlign w:val="center"/>
          </w:tcPr>
          <w:p>
            <w:pPr>
              <w:pStyle w:val="38"/>
              <w:rPr>
                <w:rFonts w:hint="default" w:eastAsia="宋体" w:cs="Arial"/>
                <w:color w:val="000000" w:themeColor="text1"/>
                <w:lang w:val="en-US" w:eastAsia="zh-CN"/>
                <w14:textFill>
                  <w14:solidFill>
                    <w14:schemeClr w14:val="tx1"/>
                  </w14:solidFill>
                </w14:textFill>
              </w:rPr>
            </w:pPr>
            <w:r>
              <w:rPr>
                <w:rFonts w:hint="eastAsia" w:eastAsia="宋体" w:cs="Arial"/>
                <w:color w:val="000000" w:themeColor="text1"/>
                <w:lang w:val="en-US" w:eastAsia="zh-CN"/>
                <w14:textFill>
                  <w14:solidFill>
                    <w14:schemeClr w14:val="tx1"/>
                  </w14:solidFill>
                </w14:textFill>
              </w:rPr>
              <w:t>253</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MHz</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c>
          <w:tcPr>
            <w:tcW w:w="157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rPr>
                <w:rFonts w:hint="default" w:cs="Arial"/>
                <w:color w:val="000000" w:themeColor="text1"/>
                <w:lang w:val="en-US"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xml:space="preserve">– </w:t>
            </w:r>
            <w:r>
              <w:rPr>
                <w:rFonts w:hint="eastAsia" w:cs="Arial"/>
                <w:color w:val="000000" w:themeColor="text1"/>
                <w:lang w:val="en-US" w:eastAsia="zh-CN"/>
                <w14:textFill>
                  <w14:solidFill>
                    <w14:schemeClr w14:val="tx1"/>
                  </w14:solidFill>
                </w14:textFill>
              </w:rPr>
              <w:t>3.5</w:t>
            </w:r>
          </w:p>
        </w:tc>
        <w:tc>
          <w:tcPr>
            <w:tcW w:w="15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xml:space="preserve">– </w:t>
            </w:r>
            <w:r>
              <w:rPr>
                <w:rFonts w:hint="eastAsia" w:cs="Arial"/>
                <w:color w:val="000000" w:themeColor="text1"/>
                <w:lang w:val="en-US" w:eastAsia="zh-CN"/>
                <w14:textFill>
                  <w14:solidFill>
                    <w14:schemeClr w14:val="tx1"/>
                  </w14:solidFill>
                </w14:textFill>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638" w:type="dxa"/>
            <w:gridSpan w:val="7"/>
            <w:tcBorders>
              <w:top w:val="single" w:color="000000" w:sz="6" w:space="0"/>
              <w:left w:val="single" w:color="000000" w:sz="6" w:space="0"/>
              <w:bottom w:val="single" w:color="000000" w:sz="6" w:space="0"/>
              <w:right w:val="single" w:color="000000" w:sz="6" w:space="0"/>
            </w:tcBorders>
            <w:vAlign w:val="center"/>
          </w:tcPr>
          <w:p>
            <w:pPr>
              <w:pStyle w:val="50"/>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50"/>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50"/>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50"/>
              <w:ind w:left="1987"/>
              <w:rPr>
                <w:rFonts w:eastAsia="MS Mincho" w:cs="Arial"/>
              </w:rPr>
            </w:pPr>
            <w:r>
              <w:rPr>
                <w:rFonts w:eastAsia="MS Mincho" w:cs="Arial"/>
              </w:rPr>
              <w:t>b. the carrier frequency +BW/2 + F</w:t>
            </w:r>
            <w:r>
              <w:rPr>
                <w:rFonts w:eastAsia="MS Mincho" w:cs="Arial"/>
                <w:vertAlign w:val="subscript"/>
              </w:rPr>
              <w:t>Ioffset, case 1</w:t>
            </w:r>
          </w:p>
          <w:p>
            <w:pPr>
              <w:pStyle w:val="38"/>
              <w:jc w:val="left"/>
              <w:rPr>
                <w:rFonts w:cs="Arial"/>
              </w:rPr>
            </w:pPr>
            <w:r>
              <w:rPr>
                <w:rFonts w:cs="Arial"/>
              </w:rPr>
              <w:t>NOTE 3:</w:t>
            </w:r>
            <w:r>
              <w:rPr>
                <w:rFonts w:hint="eastAsia" w:eastAsia="宋体" w:cs="Arial"/>
                <w:lang w:val="en-US" w:eastAsia="zh-CN"/>
              </w:rPr>
              <w:t xml:space="preserve">  </w:t>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p>
            <w:pPr>
              <w:pStyle w:val="38"/>
              <w:jc w:val="left"/>
              <w:rPr>
                <w:rFonts w:hint="default" w:eastAsia="宋体" w:cs="Arial"/>
                <w:lang w:val="en-US" w:eastAsia="zh-CN"/>
              </w:rPr>
            </w:pPr>
            <w:r>
              <w:rPr>
                <w:rFonts w:hint="eastAsia" w:eastAsia="宋体" w:cs="Arial"/>
                <w:highlight w:val="yellow"/>
                <w:lang w:val="en-US" w:eastAsia="zh-CN"/>
              </w:rPr>
              <w:t>NOTE 4:  The Interferer bandwidth for Case 3 and Case 4 is a 5 MHz broadband signal interferer (LTE)</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4: </w:t>
      </w:r>
      <w:r>
        <w:rPr>
          <w:rFonts w:hint="eastAsia"/>
          <w:b w:val="0"/>
          <w:bCs w:val="0"/>
          <w:i w:val="0"/>
          <w:iCs w:val="0"/>
          <w:lang w:val="en-US" w:eastAsia="zh-CN"/>
        </w:rPr>
        <w:t xml:space="preserve">For the extended L-band, the in-band blocking requirement for UE category M1 can be specified as shown in Table 2.4-1.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2.4.2 In-band blocking requirement for UE category NB1 and NB2</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For UE category NB1 and NB2, the interference of a 5 MHz broadband signal interferer (LTE) has not overlapping with the IBB1 and IBB2 blocker and the interference level of -48 dBm and -33 dBm with different frequency separation has more challenging than the existing in-band blocking requirement. Similarly, additional in-band blocking requirement should be introduced to cover the conclusion of ECC report 263 and additional in-band blocking requirement for UE category NB1 and NB2 can be specified as shown in Table 2.4-2.</w:t>
      </w:r>
    </w:p>
    <w:p>
      <w:pPr>
        <w:pStyle w:val="47"/>
      </w:pPr>
      <w:r>
        <w:t xml:space="preserve">Table </w:t>
      </w:r>
      <w:r>
        <w:rPr>
          <w:rFonts w:hint="eastAsia"/>
          <w:lang w:val="en-US" w:eastAsia="zh-CN"/>
        </w:rPr>
        <w:t>2.4-2</w:t>
      </w:r>
      <w:r>
        <w:t>:</w:t>
      </w:r>
      <w:r>
        <w:rPr>
          <w:rFonts w:hint="eastAsia"/>
          <w:lang w:val="en-US" w:eastAsia="zh-CN"/>
        </w:rPr>
        <w:t xml:space="preserve"> Additional</w:t>
      </w:r>
      <w:r>
        <w:t xml:space="preserve"> </w:t>
      </w:r>
      <w:r>
        <w:rPr>
          <w:rFonts w:hint="eastAsia"/>
          <w:lang w:val="en-US" w:eastAsia="zh-CN"/>
        </w:rPr>
        <w:t>i</w:t>
      </w:r>
      <w:r>
        <w:t>n-band blocking parameters for category NB1 and NB2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9"/>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2"/>
            <w:shd w:val="clear" w:color="auto" w:fill="auto"/>
            <w:vAlign w:val="center"/>
          </w:tcPr>
          <w:p>
            <w:pPr>
              <w:pStyle w:val="37"/>
              <w:rPr>
                <w:rFonts w:eastAsia="MS Mincho" w:cs="Arial"/>
                <w:lang w:eastAsia="ja-JP"/>
              </w:rPr>
            </w:pPr>
            <w:r>
              <w:rPr>
                <w:rFonts w:eastAsia="MS Mincho" w:cs="Arial"/>
                <w:lang w:eastAsia="ja-JP"/>
              </w:rPr>
              <w:t>IBB</w:t>
            </w:r>
            <w:r>
              <w:rPr>
                <w:rFonts w:hint="eastAsia" w:eastAsia="宋体" w:cs="Arial"/>
                <w:lang w:val="en-US" w:eastAsia="zh-CN"/>
              </w:rPr>
              <w:t>3</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lang w:eastAsia="ja-JP"/>
              </w:rPr>
            </w:pPr>
            <w:r>
              <w:rPr>
                <w:rFonts w:eastAsia="MS Mincho" w:cs="Arial"/>
                <w:lang w:eastAsia="ja-JP"/>
              </w:rPr>
              <w:t xml:space="preserve">Category NB1 </w:t>
            </w:r>
            <w:r>
              <w:rPr>
                <w:rFonts w:hint="eastAsia" w:cs="Arial"/>
                <w:lang w:eastAsia="zh-CN"/>
              </w:rPr>
              <w:t>or</w:t>
            </w:r>
            <w:r>
              <w:rPr>
                <w:rFonts w:eastAsia="MS Mincho" w:cs="Arial"/>
                <w:lang w:eastAsia="ja-JP"/>
              </w:rPr>
              <w:t xml:space="preserve"> NB2 signal power</w:t>
            </w:r>
          </w:p>
          <w:p>
            <w:pPr>
              <w:pStyle w:val="38"/>
              <w:rPr>
                <w:rFonts w:eastAsia="MS Mincho" w:cs="Arial"/>
                <w:lang w:val="en-US" w:eastAsia="ja-JP"/>
              </w:rPr>
            </w:pPr>
            <w:r>
              <w:rPr>
                <w:rFonts w:eastAsia="MS Mincho" w:cs="Arial"/>
                <w:bCs/>
                <w:lang w:val="en-US" w:eastAsia="ja-JP"/>
              </w:rPr>
              <w:t>(P</w:t>
            </w:r>
            <w:r>
              <w:rPr>
                <w:rFonts w:eastAsia="MS Mincho" w:cs="Arial"/>
                <w:bCs/>
                <w:vertAlign w:val="subscript"/>
                <w:lang w:val="en-US" w:eastAsia="ja-JP"/>
              </w:rPr>
              <w:t xml:space="preserve">wanted  </w:t>
            </w:r>
            <w:r>
              <w:rPr>
                <w:rFonts w:eastAsia="MS Mincho" w:cs="Arial"/>
                <w:lang w:val="en-US" w:eastAsia="ja-JP"/>
              </w:rPr>
              <w:t>) / dBm</w:t>
            </w:r>
          </w:p>
        </w:tc>
        <w:tc>
          <w:tcPr>
            <w:tcW w:w="0" w:type="auto"/>
            <w:shd w:val="clear" w:color="auto" w:fill="auto"/>
            <w:vAlign w:val="center"/>
          </w:tcPr>
          <w:p>
            <w:pPr>
              <w:pStyle w:val="38"/>
              <w:rPr>
                <w:rFonts w:eastAsia="MS Mincho" w:cs="Arial"/>
                <w:lang w:eastAsia="ja-JP"/>
              </w:rPr>
            </w:pPr>
            <w:r>
              <w:rPr>
                <w:rFonts w:eastAsia="MS Mincho" w:cs="Arial"/>
                <w:lang w:eastAsia="ja-JP"/>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lang w:val="fi-FI" w:eastAsia="ja-JP"/>
              </w:rPr>
            </w:pPr>
            <w:r>
              <w:rPr>
                <w:rFonts w:eastAsia="MS Mincho" w:cs="Arial"/>
                <w:lang w:val="fi-FI" w:eastAsia="ja-JP"/>
              </w:rPr>
              <w:t>Interferer</w:t>
            </w:r>
          </w:p>
        </w:tc>
        <w:tc>
          <w:tcPr>
            <w:tcW w:w="0" w:type="auto"/>
            <w:shd w:val="clear" w:color="auto" w:fill="auto"/>
            <w:vAlign w:val="center"/>
          </w:tcPr>
          <w:p>
            <w:pPr>
              <w:pStyle w:val="38"/>
              <w:rPr>
                <w:rFonts w:eastAsia="MS Mincho" w:cs="Arial"/>
                <w:lang w:eastAsia="ja-JP"/>
              </w:rPr>
            </w:pPr>
            <w:r>
              <w:rPr>
                <w:rFonts w:eastAsia="MS Mincho" w:cs="Arial"/>
                <w:lang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bCs/>
                <w:lang w:val="en-US" w:eastAsia="ja-JP"/>
              </w:rPr>
            </w:pPr>
            <w:r>
              <w:rPr>
                <w:rFonts w:eastAsia="MS Mincho" w:cs="Arial"/>
                <w:bCs/>
                <w:lang w:eastAsia="ja-JP"/>
              </w:rPr>
              <w:t>Interferer signal power</w:t>
            </w:r>
          </w:p>
          <w:p>
            <w:pPr>
              <w:pStyle w:val="38"/>
              <w:rPr>
                <w:rFonts w:eastAsia="MS Mincho" w:cs="Arial"/>
                <w:lang w:val="en-US" w:eastAsia="ja-JP"/>
              </w:rPr>
            </w:pPr>
            <w:r>
              <w:rPr>
                <w:rFonts w:eastAsia="MS Mincho" w:cs="Arial"/>
                <w:bCs/>
                <w:lang w:val="en-US" w:eastAsia="ja-JP"/>
              </w:rPr>
              <w:t>(P</w:t>
            </w:r>
            <w:r>
              <w:rPr>
                <w:rFonts w:eastAsia="MS Mincho" w:cs="Arial"/>
                <w:bCs/>
                <w:vertAlign w:val="subscript"/>
                <w:lang w:val="en-US" w:eastAsia="ja-JP"/>
              </w:rPr>
              <w:t xml:space="preserve">Interferer </w:t>
            </w:r>
            <w:r>
              <w:rPr>
                <w:rFonts w:eastAsia="MS Mincho" w:cs="Arial"/>
                <w:lang w:val="en-US" w:eastAsia="ja-JP"/>
              </w:rPr>
              <w:t xml:space="preserve">) / dBm </w:t>
            </w:r>
          </w:p>
        </w:tc>
        <w:tc>
          <w:tcPr>
            <w:tcW w:w="0" w:type="auto"/>
            <w:shd w:val="clear" w:color="auto" w:fill="auto"/>
            <w:vAlign w:val="center"/>
          </w:tcPr>
          <w:p>
            <w:pPr>
              <w:pStyle w:val="38"/>
              <w:rPr>
                <w:rFonts w:eastAsia="MS Mincho" w:cs="Arial"/>
                <w:lang w:val="fi-FI" w:eastAsia="ja-JP"/>
              </w:rPr>
            </w:pPr>
            <w:r>
              <w:rPr>
                <w:rFonts w:eastAsia="MS Mincho" w:cs="Arial"/>
                <w:lang w:val="fi-FI" w:eastAsia="ja-JP"/>
              </w:rPr>
              <w:t xml:space="preserve">- </w:t>
            </w:r>
            <w:r>
              <w:rPr>
                <w:rFonts w:hint="eastAsia" w:eastAsia="宋体" w:cs="Arial"/>
                <w:lang w:val="en-US" w:eastAsia="zh-CN"/>
              </w:rPr>
              <w:t>48</w:t>
            </w:r>
            <w:r>
              <w:rPr>
                <w:rFonts w:eastAsia="MS Mincho" w:cs="Arial"/>
                <w:lang w:val="fi-FI"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bCs/>
                <w:lang w:val="fi-FI" w:eastAsia="ja-JP"/>
              </w:rPr>
            </w:pPr>
            <w:r>
              <w:rPr>
                <w:rFonts w:eastAsia="MS Mincho" w:cs="Arial"/>
                <w:bCs/>
                <w:lang w:val="fi-FI" w:eastAsia="ja-JP"/>
              </w:rPr>
              <w:t>Interferer bandwidth</w:t>
            </w:r>
          </w:p>
        </w:tc>
        <w:tc>
          <w:tcPr>
            <w:tcW w:w="0" w:type="auto"/>
            <w:shd w:val="clear" w:color="auto" w:fill="auto"/>
            <w:vAlign w:val="center"/>
          </w:tcPr>
          <w:p>
            <w:pPr>
              <w:pStyle w:val="38"/>
              <w:rPr>
                <w:rFonts w:eastAsia="MS Mincho" w:cs="Arial"/>
                <w:lang w:eastAsia="ja-JP"/>
              </w:rPr>
            </w:pPr>
            <w:r>
              <w:rPr>
                <w:rFonts w:eastAsia="MS Mincho" w:cs="Arial"/>
                <w:lang w:val="en-US"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i/>
                <w:lang w:val="en-US" w:eastAsia="ja-JP"/>
              </w:rPr>
            </w:pPr>
            <w:r>
              <w:rPr>
                <w:rFonts w:eastAsia="MS Mincho" w:cs="Arial"/>
                <w:bCs/>
                <w:lang w:eastAsia="ja-JP"/>
              </w:rPr>
              <w:t>Interferer offset</w:t>
            </w:r>
            <w:r>
              <w:rPr>
                <w:rFonts w:eastAsia="MS Mincho" w:cs="Arial"/>
                <w:bCs/>
                <w:lang w:val="en-US" w:eastAsia="ja-JP"/>
              </w:rPr>
              <w:t xml:space="preserve"> from category NB1 </w:t>
            </w:r>
            <w:r>
              <w:rPr>
                <w:rFonts w:hint="eastAsia" w:cs="Arial"/>
                <w:bCs/>
                <w:lang w:val="en-US" w:eastAsia="zh-CN"/>
              </w:rPr>
              <w:t>or</w:t>
            </w:r>
            <w:r>
              <w:rPr>
                <w:rFonts w:eastAsia="MS Mincho" w:cs="Arial"/>
                <w:bCs/>
                <w:lang w:val="en-US" w:eastAsia="ja-JP"/>
              </w:rPr>
              <w:t xml:space="preserve"> NB2 channel edge</w:t>
            </w:r>
          </w:p>
        </w:tc>
        <w:tc>
          <w:tcPr>
            <w:tcW w:w="0" w:type="auto"/>
            <w:shd w:val="clear" w:color="auto" w:fill="auto"/>
            <w:vAlign w:val="center"/>
          </w:tcPr>
          <w:p>
            <w:pPr>
              <w:pStyle w:val="38"/>
              <w:rPr>
                <w:rFonts w:eastAsia="MS Mincho" w:cs="Arial"/>
                <w:lang w:val="en-US" w:eastAsia="ja-JP"/>
              </w:rPr>
            </w:pPr>
            <w:r>
              <w:rPr>
                <w:rFonts w:hint="eastAsia" w:eastAsia="宋体" w:cs="Arial"/>
                <w:lang w:val="en-US" w:eastAsia="zh-CN"/>
              </w:rPr>
              <w:t>F</w:t>
            </w:r>
            <w:r>
              <w:rPr>
                <w:rFonts w:hint="eastAsia" w:eastAsia="宋体" w:cs="Arial"/>
                <w:vertAlign w:val="subscript"/>
                <w:lang w:val="en-US" w:eastAsia="zh-CN"/>
              </w:rPr>
              <w:t xml:space="preserve">DL_low </w:t>
            </w:r>
            <w:r>
              <w:rPr>
                <w:rFonts w:eastAsia="MS Mincho" w:cs="Arial"/>
                <w:lang w:val="en-US" w:eastAsia="ja-JP"/>
              </w:rPr>
              <w:t>-</w:t>
            </w:r>
            <w:r>
              <w:rPr>
                <w:rFonts w:hint="eastAsia" w:eastAsia="宋体" w:cs="Arial"/>
                <w:lang w:val="en-US" w:eastAsia="zh-CN"/>
              </w:rPr>
              <w:t>3</w:t>
            </w:r>
            <w:r>
              <w:rPr>
                <w:rFonts w:eastAsia="MS Mincho" w:cs="Arial"/>
                <w:lang w:val="en-US"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2"/>
            <w:shd w:val="clear" w:color="auto" w:fill="auto"/>
            <w:vAlign w:val="center"/>
          </w:tcPr>
          <w:p>
            <w:pPr>
              <w:pStyle w:val="37"/>
              <w:rPr>
                <w:rFonts w:eastAsia="MS Mincho" w:cs="Arial"/>
                <w:lang w:eastAsia="ja-JP"/>
              </w:rPr>
            </w:pPr>
            <w:r>
              <w:rPr>
                <w:rFonts w:eastAsia="MS Mincho" w:cs="Arial"/>
                <w:lang w:eastAsia="ja-JP"/>
              </w:rPr>
              <w:t>IBB</w:t>
            </w:r>
            <w:r>
              <w:rPr>
                <w:rFonts w:hint="eastAsia" w:eastAsia="宋体" w:cs="Arial"/>
                <w:lang w:val="en-US" w:eastAsia="zh-CN"/>
              </w:rPr>
              <w:t>4</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lang w:eastAsia="ja-JP"/>
              </w:rPr>
            </w:pPr>
            <w:r>
              <w:rPr>
                <w:rFonts w:eastAsia="MS Mincho" w:cs="Arial"/>
                <w:lang w:eastAsia="ja-JP"/>
              </w:rPr>
              <w:t xml:space="preserve">Category NB1 </w:t>
            </w:r>
            <w:r>
              <w:rPr>
                <w:rFonts w:hint="eastAsia" w:cs="Arial"/>
                <w:lang w:eastAsia="zh-CN"/>
              </w:rPr>
              <w:t>or</w:t>
            </w:r>
            <w:r>
              <w:rPr>
                <w:rFonts w:eastAsia="MS Mincho" w:cs="Arial"/>
                <w:lang w:eastAsia="ja-JP"/>
              </w:rPr>
              <w:t xml:space="preserve"> NB2 signal power</w:t>
            </w:r>
          </w:p>
          <w:p>
            <w:pPr>
              <w:pStyle w:val="38"/>
              <w:rPr>
                <w:rFonts w:eastAsia="MS Mincho" w:cs="Arial"/>
                <w:lang w:val="en-US" w:eastAsia="ja-JP"/>
              </w:rPr>
            </w:pPr>
            <w:r>
              <w:rPr>
                <w:rFonts w:eastAsia="MS Mincho" w:cs="Arial"/>
                <w:bCs/>
                <w:lang w:val="en-US" w:eastAsia="ja-JP"/>
              </w:rPr>
              <w:t>(P</w:t>
            </w:r>
            <w:r>
              <w:rPr>
                <w:rFonts w:eastAsia="MS Mincho" w:cs="Arial"/>
                <w:bCs/>
                <w:vertAlign w:val="subscript"/>
                <w:lang w:val="en-US" w:eastAsia="ja-JP"/>
              </w:rPr>
              <w:t xml:space="preserve">wanted  </w:t>
            </w:r>
            <w:r>
              <w:rPr>
                <w:rFonts w:eastAsia="MS Mincho" w:cs="Arial"/>
                <w:lang w:val="en-US" w:eastAsia="ja-JP"/>
              </w:rPr>
              <w:t>) / dBm</w:t>
            </w:r>
          </w:p>
        </w:tc>
        <w:tc>
          <w:tcPr>
            <w:tcW w:w="0" w:type="auto"/>
            <w:shd w:val="clear" w:color="auto" w:fill="auto"/>
            <w:vAlign w:val="center"/>
          </w:tcPr>
          <w:p>
            <w:pPr>
              <w:pStyle w:val="38"/>
              <w:rPr>
                <w:rFonts w:eastAsia="MS Mincho" w:cs="Arial"/>
                <w:lang w:eastAsia="ja-JP"/>
              </w:rPr>
            </w:pPr>
            <w:r>
              <w:rPr>
                <w:rFonts w:eastAsia="MS Mincho" w:cs="Arial"/>
                <w:lang w:eastAsia="ja-JP"/>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lang w:val="fi-FI" w:eastAsia="ja-JP"/>
              </w:rPr>
            </w:pPr>
            <w:r>
              <w:rPr>
                <w:rFonts w:eastAsia="MS Mincho" w:cs="Arial"/>
                <w:lang w:val="fi-FI" w:eastAsia="ja-JP"/>
              </w:rPr>
              <w:t>Interferer</w:t>
            </w:r>
          </w:p>
        </w:tc>
        <w:tc>
          <w:tcPr>
            <w:tcW w:w="0" w:type="auto"/>
            <w:shd w:val="clear" w:color="auto" w:fill="auto"/>
            <w:vAlign w:val="center"/>
          </w:tcPr>
          <w:p>
            <w:pPr>
              <w:pStyle w:val="38"/>
              <w:rPr>
                <w:rFonts w:eastAsia="MS Mincho" w:cs="Arial"/>
                <w:lang w:eastAsia="ja-JP"/>
              </w:rPr>
            </w:pPr>
            <w:r>
              <w:rPr>
                <w:rFonts w:eastAsia="MS Mincho" w:cs="Arial"/>
                <w:lang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bCs/>
                <w:lang w:val="en-US" w:eastAsia="ja-JP"/>
              </w:rPr>
            </w:pPr>
            <w:r>
              <w:rPr>
                <w:rFonts w:eastAsia="MS Mincho" w:cs="Arial"/>
                <w:bCs/>
                <w:lang w:eastAsia="ja-JP"/>
              </w:rPr>
              <w:t>Interferer signal power</w:t>
            </w:r>
          </w:p>
          <w:p>
            <w:pPr>
              <w:pStyle w:val="38"/>
              <w:rPr>
                <w:rFonts w:eastAsia="MS Mincho" w:cs="Arial"/>
                <w:lang w:val="en-US" w:eastAsia="ja-JP"/>
              </w:rPr>
            </w:pPr>
            <w:r>
              <w:rPr>
                <w:rFonts w:eastAsia="MS Mincho" w:cs="Arial"/>
                <w:bCs/>
                <w:lang w:val="en-US" w:eastAsia="ja-JP"/>
              </w:rPr>
              <w:t>(P</w:t>
            </w:r>
            <w:r>
              <w:rPr>
                <w:rFonts w:eastAsia="MS Mincho" w:cs="Arial"/>
                <w:bCs/>
                <w:vertAlign w:val="subscript"/>
                <w:lang w:val="en-US" w:eastAsia="ja-JP"/>
              </w:rPr>
              <w:t xml:space="preserve">Interferer </w:t>
            </w:r>
            <w:r>
              <w:rPr>
                <w:rFonts w:eastAsia="MS Mincho" w:cs="Arial"/>
                <w:lang w:val="en-US" w:eastAsia="ja-JP"/>
              </w:rPr>
              <w:t xml:space="preserve">) / dBm </w:t>
            </w:r>
          </w:p>
        </w:tc>
        <w:tc>
          <w:tcPr>
            <w:tcW w:w="0" w:type="auto"/>
            <w:shd w:val="clear" w:color="auto" w:fill="auto"/>
            <w:vAlign w:val="center"/>
          </w:tcPr>
          <w:p>
            <w:pPr>
              <w:pStyle w:val="38"/>
              <w:rPr>
                <w:rFonts w:eastAsia="MS Mincho" w:cs="Arial"/>
                <w:lang w:val="fi-FI" w:eastAsia="ja-JP"/>
              </w:rPr>
            </w:pPr>
            <w:r>
              <w:rPr>
                <w:rFonts w:eastAsia="MS Mincho" w:cs="Arial"/>
                <w:lang w:val="fi-FI" w:eastAsia="ja-JP"/>
              </w:rPr>
              <w:t xml:space="preserve">- </w:t>
            </w:r>
            <w:r>
              <w:rPr>
                <w:rFonts w:hint="eastAsia" w:eastAsia="宋体" w:cs="Arial"/>
                <w:lang w:val="en-US" w:eastAsia="zh-CN"/>
              </w:rPr>
              <w:t>33</w:t>
            </w:r>
            <w:r>
              <w:rPr>
                <w:rFonts w:eastAsia="MS Mincho" w:cs="Arial"/>
                <w:lang w:val="fi-FI"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bCs/>
                <w:lang w:val="fi-FI" w:eastAsia="ja-JP"/>
              </w:rPr>
            </w:pPr>
            <w:r>
              <w:rPr>
                <w:rFonts w:eastAsia="MS Mincho" w:cs="Arial"/>
                <w:bCs/>
                <w:lang w:val="fi-FI" w:eastAsia="ja-JP"/>
              </w:rPr>
              <w:t>Interferer bandwidth</w:t>
            </w:r>
          </w:p>
        </w:tc>
        <w:tc>
          <w:tcPr>
            <w:tcW w:w="0" w:type="auto"/>
            <w:shd w:val="clear" w:color="auto" w:fill="auto"/>
            <w:vAlign w:val="center"/>
          </w:tcPr>
          <w:p>
            <w:pPr>
              <w:pStyle w:val="38"/>
              <w:rPr>
                <w:rFonts w:eastAsia="MS Mincho" w:cs="Arial"/>
                <w:lang w:eastAsia="ja-JP"/>
              </w:rPr>
            </w:pPr>
            <w:r>
              <w:rPr>
                <w:rFonts w:eastAsia="MS Mincho" w:cs="Arial"/>
                <w:lang w:val="en-US"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38"/>
              <w:rPr>
                <w:rFonts w:eastAsia="MS Mincho" w:cs="Arial"/>
                <w:i/>
                <w:lang w:val="en-US" w:eastAsia="ja-JP"/>
              </w:rPr>
            </w:pPr>
            <w:r>
              <w:rPr>
                <w:rFonts w:eastAsia="MS Mincho" w:cs="Arial"/>
                <w:bCs/>
                <w:lang w:eastAsia="ja-JP"/>
              </w:rPr>
              <w:t>Interferer offset</w:t>
            </w:r>
            <w:r>
              <w:rPr>
                <w:rFonts w:eastAsia="MS Mincho" w:cs="Arial"/>
                <w:bCs/>
                <w:lang w:val="en-US" w:eastAsia="ja-JP"/>
              </w:rPr>
              <w:t xml:space="preserve"> range from category NB1 </w:t>
            </w:r>
            <w:r>
              <w:rPr>
                <w:rFonts w:hint="eastAsia" w:cs="Arial"/>
                <w:bCs/>
                <w:lang w:val="en-US" w:eastAsia="zh-CN"/>
              </w:rPr>
              <w:t>or</w:t>
            </w:r>
            <w:r>
              <w:rPr>
                <w:rFonts w:eastAsia="MS Mincho" w:cs="Arial"/>
                <w:bCs/>
                <w:lang w:val="en-US" w:eastAsia="ja-JP"/>
              </w:rPr>
              <w:t xml:space="preserve"> NB2 channel edge</w:t>
            </w:r>
          </w:p>
        </w:tc>
        <w:tc>
          <w:tcPr>
            <w:tcW w:w="0" w:type="auto"/>
            <w:shd w:val="clear" w:color="auto" w:fill="auto"/>
            <w:vAlign w:val="center"/>
          </w:tcPr>
          <w:p>
            <w:pPr>
              <w:pStyle w:val="38"/>
              <w:rPr>
                <w:rFonts w:eastAsia="MS Mincho" w:cs="Arial"/>
                <w:lang w:eastAsia="ja-JP"/>
              </w:rPr>
            </w:pPr>
            <w:r>
              <w:rPr>
                <w:rFonts w:cs="Arial"/>
                <w:lang w:eastAsia="zh-CN"/>
              </w:rPr>
              <w:t>F</w:t>
            </w:r>
            <w:r>
              <w:rPr>
                <w:rFonts w:cs="Arial"/>
                <w:vertAlign w:val="subscript"/>
                <w:lang w:eastAsia="zh-CN"/>
              </w:rPr>
              <w:t>DL_low</w:t>
            </w:r>
            <w:r>
              <w:rPr>
                <w:rFonts w:cs="Arial"/>
                <w:lang w:eastAsia="zh-CN"/>
              </w:rPr>
              <w:t xml:space="preserve"> - </w:t>
            </w:r>
            <w:r>
              <w:rPr>
                <w:rFonts w:hint="eastAsia" w:cs="Arial"/>
                <w:lang w:val="en-US" w:eastAsia="zh-CN"/>
              </w:rPr>
              <w:t>5.</w:t>
            </w:r>
            <w:r>
              <w:rPr>
                <w:rFonts w:cs="Arial"/>
                <w:lang w:eastAsia="zh-CN"/>
              </w:rPr>
              <w:t>5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bookmarkStart w:id="6" w:name="OLE_LINK2"/>
      <w:r>
        <w:rPr>
          <w:rFonts w:hint="eastAsia"/>
          <w:b/>
          <w:bCs/>
          <w:i w:val="0"/>
          <w:iCs w:val="0"/>
          <w:lang w:val="en-US" w:eastAsia="zh-CN"/>
        </w:rPr>
        <w:t xml:space="preserve">Proposal 5: </w:t>
      </w:r>
      <w:r>
        <w:rPr>
          <w:rFonts w:hint="eastAsia"/>
          <w:b w:val="0"/>
          <w:bCs w:val="0"/>
          <w:i w:val="0"/>
          <w:iCs w:val="0"/>
          <w:lang w:val="en-US" w:eastAsia="zh-CN"/>
        </w:rPr>
        <w:t>For the extended L-band, additional in-band blocking requirement for UE category NB1 and NB2 can be specified as shown in Table 2.4-2.</w:t>
      </w:r>
    </w:p>
    <w:bookmarkEnd w:id="2"/>
    <w:bookmarkEnd w:id="3"/>
    <w:bookmarkEnd w:id="4"/>
    <w:bookmarkEnd w:id="5"/>
    <w:bookmarkEnd w:id="6"/>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1: </w:t>
      </w:r>
      <w:r>
        <w:rPr>
          <w:rFonts w:hint="eastAsia"/>
          <w:lang w:val="en-US" w:eastAsia="zh-CN"/>
        </w:rPr>
        <w:t>For the Extended L-band, the channel raster, carrier frequency and EARFCN can be confirmed as Table 2.1-1.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b/>
          <w:bCs/>
          <w:i w:val="0"/>
          <w:iCs w:val="0"/>
          <w:lang w:val="en-US" w:eastAsia="zh-CN"/>
        </w:rPr>
        <w:t>Proposal 2:</w:t>
      </w:r>
      <w:r>
        <w:rPr>
          <w:rFonts w:hint="eastAsia"/>
          <w:b w:val="0"/>
          <w:bCs w:val="0"/>
          <w:i w:val="0"/>
          <w:iCs w:val="0"/>
          <w:lang w:val="en-US" w:eastAsia="zh-CN"/>
        </w:rPr>
        <w:t xml:space="preserve"> For the Extended L-band, the TX–RX frequency separation should be confirm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3: </w:t>
      </w:r>
      <w:r>
        <w:rPr>
          <w:rFonts w:hint="eastAsia"/>
          <w:b w:val="0"/>
          <w:bCs w:val="0"/>
          <w:i w:val="0"/>
          <w:iCs w:val="0"/>
          <w:lang w:val="en-US" w:eastAsia="zh-CN"/>
        </w:rPr>
        <w:t>For the extended L-band, t</w:t>
      </w:r>
      <w:r>
        <w:rPr>
          <w:rFonts w:hint="eastAsia"/>
          <w:lang w:val="en-US" w:eastAsia="zh-CN"/>
        </w:rPr>
        <w:t>he reference sensitivity level for eMTC NTN can be defined as Table 2.3-1 and Table 2.3-2 and the reference sensitivity level for NB-IoT can be defined as Table 2.3-3.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4: </w:t>
      </w:r>
      <w:r>
        <w:rPr>
          <w:rFonts w:hint="eastAsia"/>
          <w:b w:val="0"/>
          <w:bCs w:val="0"/>
          <w:i w:val="0"/>
          <w:iCs w:val="0"/>
          <w:lang w:val="en-US" w:eastAsia="zh-CN"/>
        </w:rPr>
        <w:t xml:space="preserve">For the extended L-band, the in-band blocking requirement can be specified as shown in Table 2.4-1.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5: </w:t>
      </w:r>
      <w:r>
        <w:rPr>
          <w:rFonts w:hint="eastAsia"/>
          <w:b w:val="0"/>
          <w:bCs w:val="0"/>
          <w:i w:val="0"/>
          <w:iCs w:val="0"/>
          <w:lang w:val="en-US" w:eastAsia="zh-CN"/>
        </w:rPr>
        <w:t xml:space="preserve">For the extended L-band, additional in-band blocking requirement for UE category NB1 and NB2 can be specified as shown in Table 2.4-2. </w:t>
      </w:r>
    </w:p>
    <w:p>
      <w:pPr>
        <w:pStyle w:val="57"/>
        <w:tabs>
          <w:tab w:val="left" w:pos="567"/>
          <w:tab w:val="clear" w:pos="1985"/>
        </w:tabs>
        <w:adjustRightInd w:val="0"/>
        <w:ind w:left="510" w:hanging="510"/>
        <w:rPr>
          <w:highlight w:val="none"/>
        </w:rPr>
      </w:pPr>
      <w:r>
        <w:rPr>
          <w:highlight w:val="none"/>
        </w:rPr>
        <w:t>References</w:t>
      </w:r>
    </w:p>
    <w:p>
      <w:pPr>
        <w:pStyle w:val="55"/>
        <w:numPr>
          <w:ilvl w:val="0"/>
          <w:numId w:val="7"/>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5"/>
        <w:numPr>
          <w:ilvl w:val="0"/>
          <w:numId w:val="7"/>
        </w:numPr>
      </w:pPr>
      <w:r>
        <w:rPr>
          <w:rFonts w:hint="eastAsia"/>
          <w:lang w:val="en-US" w:eastAsia="zh-CN"/>
        </w:rPr>
        <w:t xml:space="preserve">3GPP TS36.102: </w:t>
      </w:r>
      <w:r>
        <w:rPr>
          <w:rFonts w:hint="default"/>
          <w:lang w:val="en-US" w:eastAsia="zh-CN"/>
        </w:rPr>
        <w:t>“User Equipment (UE) radio transmission and reception for satellite access”</w:t>
      </w:r>
    </w:p>
    <w:p>
      <w:pPr>
        <w:pStyle w:val="55"/>
        <w:numPr>
          <w:ilvl w:val="0"/>
          <w:numId w:val="7"/>
        </w:numPr>
      </w:pPr>
      <w:r>
        <w:rPr>
          <w:rFonts w:hint="eastAsia"/>
          <w:lang w:val="en-US" w:eastAsia="zh-CN"/>
        </w:rPr>
        <w:t xml:space="preserve">R4-2306579, </w:t>
      </w:r>
      <w:r>
        <w:rPr>
          <w:rFonts w:hint="default"/>
          <w:lang w:val="en-US" w:eastAsia="zh-CN"/>
        </w:rPr>
        <w:t>“WF on IoT_NTN_FDD_LS_band”</w:t>
      </w:r>
      <w:r>
        <w:rPr>
          <w:rFonts w:hint="eastAsia"/>
          <w:lang w:val="en-US" w:eastAsia="zh-CN"/>
        </w:rPr>
        <w:t>, MediaTek Inc.</w:t>
      </w:r>
    </w:p>
    <w:p>
      <w:pPr>
        <w:pStyle w:val="55"/>
        <w:numPr>
          <w:ilvl w:val="0"/>
          <w:numId w:val="7"/>
        </w:numPr>
      </w:pPr>
      <w:r>
        <w:rPr>
          <w:lang w:val="en-US" w:eastAsia="zh-CN"/>
        </w:rPr>
        <w:t xml:space="preserve">ECC Report 263, “Adjacent band compatibility studies between IMT operating in the frequency band 1492-1518 MHz and the MSS operating in the frequency band 1518-1552 MHz,” Approved 03 March 2017.  </w:t>
      </w: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footnote>
  <w:footnote w:type="continuationSeparator" w:id="3">
    <w:p/>
  </w:footnote>
  <w:footnote w:id="0">
    <w:p>
      <w:pPr>
        <w:pStyle w:val="20"/>
        <w:ind w:left="0" w:leftChars="0" w:firstLine="0" w:firstLineChars="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CF3ED2"/>
    <w:multiLevelType w:val="singleLevel"/>
    <w:tmpl w:val="DECF3ED2"/>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FEB4A7C"/>
    <w:multiLevelType w:val="multilevel"/>
    <w:tmpl w:val="0FEB4A7C"/>
    <w:lvl w:ilvl="0" w:tentative="0">
      <w:start w:val="1"/>
      <w:numFmt w:val="bullet"/>
      <w:pStyle w:val="102"/>
      <w:lvlText w:val=""/>
      <w:lvlJc w:val="left"/>
      <w:pPr>
        <w:ind w:left="360" w:hanging="360"/>
      </w:pPr>
      <w:rPr>
        <w:rFonts w:hint="default" w:ascii="Wingdings" w:hAnsi="Wingdings"/>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360" w:hanging="360"/>
      </w:pPr>
      <w:rPr>
        <w:rFonts w:hint="default" w:ascii="Symbol" w:hAnsi="Symbo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E847C9C"/>
    <w:multiLevelType w:val="multilevel"/>
    <w:tmpl w:val="6E847C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1F83"/>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05E20"/>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038EC"/>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1D3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73003"/>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C6F8E"/>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ED5080"/>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0F4B98"/>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04170"/>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8421E"/>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2E2107"/>
    <w:rsid w:val="2C3256C0"/>
    <w:rsid w:val="2C395B9E"/>
    <w:rsid w:val="2C3B4053"/>
    <w:rsid w:val="2C3D433E"/>
    <w:rsid w:val="2C416890"/>
    <w:rsid w:val="2C4725E8"/>
    <w:rsid w:val="2C4D767D"/>
    <w:rsid w:val="2C547DAE"/>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7B2532"/>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5F2394"/>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A96C80"/>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3444"/>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AE178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B6F1A"/>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52991"/>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3507D"/>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517AE"/>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EF0662"/>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95C06"/>
    <w:rsid w:val="3D0B7E6F"/>
    <w:rsid w:val="3D0D32BA"/>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53B39"/>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B3C9A"/>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4392B"/>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624B7F"/>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225519"/>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35F37"/>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A1A0A"/>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4F42B58"/>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B41D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92076"/>
    <w:rsid w:val="5AFA61A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41F8A"/>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4F043B"/>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6EED"/>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5227"/>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507E8"/>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04D45"/>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D41952"/>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A2205"/>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4F28A3"/>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32185"/>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74014"/>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34504"/>
    <w:rsid w:val="777B5F51"/>
    <w:rsid w:val="777D53E6"/>
    <w:rsid w:val="777E0553"/>
    <w:rsid w:val="777E1FE2"/>
    <w:rsid w:val="778067C2"/>
    <w:rsid w:val="77847A56"/>
    <w:rsid w:val="778F0D7D"/>
    <w:rsid w:val="778F49BD"/>
    <w:rsid w:val="77966F4C"/>
    <w:rsid w:val="779D7890"/>
    <w:rsid w:val="779E247B"/>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B0144"/>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8"/>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footnote text"/>
    <w:basedOn w:val="1"/>
    <w:qFormat/>
    <w:uiPriority w:val="0"/>
    <w:pPr>
      <w:widowControl w:val="0"/>
      <w:tabs>
        <w:tab w:val="left" w:pos="284"/>
      </w:tabs>
      <w:spacing w:before="60" w:after="0"/>
      <w:ind w:left="284" w:hanging="284"/>
    </w:pPr>
    <w:rPr>
      <w:sz w:val="16"/>
      <w:szCs w:val="16"/>
      <w:lang w:val="en-US"/>
      <w14:cntxtalts/>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styleId="33">
    <w:name w:val="footnote reference"/>
    <w:basedOn w:val="27"/>
    <w:qFormat/>
    <w:uiPriority w:val="0"/>
    <w:rPr>
      <w:rFonts w:ascii="Arial" w:hAnsi="Arial"/>
      <w:sz w:val="20"/>
      <w:vertAlign w:val="superscript"/>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39"/>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18"/>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7"/>
    <w:qFormat/>
    <w:uiPriority w:val="99"/>
    <w:rPr>
      <w:sz w:val="18"/>
      <w:szCs w:val="18"/>
    </w:rPr>
  </w:style>
  <w:style w:type="character" w:customStyle="1" w:styleId="86">
    <w:name w:val="Comment Subject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7"/>
    <w:qFormat/>
    <w:uiPriority w:val="0"/>
  </w:style>
  <w:style w:type="paragraph" w:customStyle="1" w:styleId="97">
    <w:name w:val="TAR"/>
    <w:basedOn w:val="39"/>
    <w:qFormat/>
    <w:uiPriority w:val="0"/>
    <w:pPr>
      <w:jc w:val="right"/>
    </w:pPr>
  </w:style>
  <w:style w:type="character" w:customStyle="1" w:styleId="98">
    <w:name w:val="ECC HL green"/>
    <w:basedOn w:val="27"/>
    <w:qFormat/>
    <w:uiPriority w:val="1"/>
    <w:rPr>
      <w:shd w:val="solid" w:color="92D050" w:fill="auto"/>
      <w:lang w:val="en-GB"/>
    </w:rPr>
  </w:style>
  <w:style w:type="character" w:customStyle="1" w:styleId="99">
    <w:name w:val="ECC HL yellow"/>
    <w:basedOn w:val="27"/>
    <w:qFormat/>
    <w:uiPriority w:val="1"/>
    <w:rPr>
      <w:rFonts w:eastAsia="Calibri"/>
      <w:szCs w:val="22"/>
      <w:shd w:val="solid" w:color="FFFF00" w:fill="auto"/>
      <w:lang w:val="en-GB"/>
    </w:rPr>
  </w:style>
  <w:style w:type="character" w:customStyle="1" w:styleId="100">
    <w:name w:val="ECC Paragraph"/>
    <w:basedOn w:val="27"/>
    <w:qFormat/>
    <w:uiPriority w:val="1"/>
    <w:rPr>
      <w:rFonts w:ascii="Arial" w:hAnsi="Arial"/>
      <w:sz w:val="20"/>
      <w:lang w:val="en-GB"/>
    </w:rPr>
  </w:style>
  <w:style w:type="paragraph" w:customStyle="1" w:styleId="101">
    <w:name w:val="ECC Bullets Lv2"/>
    <w:basedOn w:val="102"/>
    <w:qFormat/>
    <w:uiPriority w:val="0"/>
    <w:pPr>
      <w:tabs>
        <w:tab w:val="left" w:pos="340"/>
        <w:tab w:val="left" w:pos="680"/>
      </w:tabs>
      <w:ind w:left="680"/>
    </w:pPr>
  </w:style>
  <w:style w:type="paragraph" w:customStyle="1" w:styleId="102">
    <w:name w:val="ECC Bullets Lv1"/>
    <w:basedOn w:val="1"/>
    <w:qFormat/>
    <w:uiPriority w:val="0"/>
    <w:pPr>
      <w:numPr>
        <w:ilvl w:val="0"/>
        <w:numId w:val="2"/>
      </w:numPr>
      <w:tabs>
        <w:tab w:val="left" w:pos="340"/>
      </w:tabs>
      <w:spacing w:before="60" w:after="0"/>
      <w:ind w:left="340" w:hanging="340"/>
    </w:pPr>
  </w:style>
  <w:style w:type="paragraph" w:customStyle="1" w:styleId="103">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 w:type="table" w:customStyle="1" w:styleId="104">
    <w:name w:val="ECC Table - red header"/>
    <w:basedOn w:val="105"/>
    <w:qFormat/>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105">
    <w:name w:val="ECC Table - clean"/>
    <w:qFormat/>
    <w:uiPriority w:val="99"/>
    <w:pPr>
      <w:spacing w:before="60"/>
    </w:pPr>
    <w:rPr>
      <w:rFonts w:eastAsia="Calibri"/>
      <w:lang w:val="de-DE" w:eastAsia="de-DE"/>
    </w:rPr>
    <w:tblPr>
      <w:jc w:val="center"/>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rPr>
        <w:tblHeader/>
      </w:t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23</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2023-09-27T08:46:10Z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1CE9996197D74D00998FE8DEA08CFC31</vt:lpwstr>
  </property>
</Properties>
</file>